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PLAN</w:t>
      </w:r>
    </w:p>
    <w:p>
      <w:pPr>
        <w:spacing w:after="160"/>
      </w:pPr>
      <w:r>
        <w:rPr>
          <w:rFonts w:ascii="Georgia" w:hAnsi="Georgia"/>
          <w:b/>
          <w:color w:val="0F141A"/>
          <w:sz w:val="56"/>
        </w:rPr>
        <w:t>Test Plan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BVL-EB9149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Plan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Project:</w:t>
      </w:r>
      <w:r>
        <w:t xml:space="preserve"> _______________  </w:t>
      </w:r>
      <w:r>
        <w:rPr>
          <w:b/>
        </w:rPr>
        <w:t>Release:</w:t>
      </w:r>
      <w:r>
        <w:t xml:space="preserve"> _______________  </w:t>
      </w:r>
      <w:r>
        <w:rPr>
          <w:b/>
        </w:rPr>
        <w:t>Version:</w:t>
      </w:r>
      <w:r>
        <w:t xml:space="preserve"> 0.1 </w:t>
      </w:r>
      <w:r>
        <w:rPr>
          <w:b/>
        </w:rPr>
        <w:t>Test lead:</w:t>
      </w:r>
      <w:r>
        <w:t xml:space="preserve"> _______________  </w:t>
      </w:r>
      <w:r>
        <w:rPr>
          <w:b/>
        </w:rPr>
        <w:t>Date:</w:t>
      </w:r>
      <w:r>
        <w:t xml:space="preserve"> _______________</w:t>
      </w:r>
    </w:p>
    <w:p>
      <w:r>
        <w:t>---</w:t>
      </w:r>
    </w:p>
    <w:p>
      <w:pPr>
        <w:pStyle w:val="Heading1"/>
      </w:pPr>
      <w:r>
        <w:t>1. What we are testing</w:t>
      </w:r>
    </w:p>
    <w:p>
      <w:r>
        <w:rPr>
          <w:b/>
        </w:rPr>
        <w:t>Scope:</w:t>
      </w:r>
    </w:p>
    <w:p>
      <w:r>
        <w:rPr>
          <w:b/>
        </w:rPr>
        <w:t>Explicitly NOT tested (and why):</w:t>
      </w:r>
    </w:p>
    <w:p>
      <w:pPr>
        <w:ind w:left="454"/>
        <w:shd w:val="clear" w:color="auto" w:fill="FAFAFB"/>
      </w:pPr>
      <w:r>
        <w:rPr>
          <w:i/>
        </w:rPr>
        <w:t>Untested areas are a decision, not an oversight. Name them so the risk is owned.</w:t>
      </w:r>
    </w:p>
    <w:p>
      <w:pPr>
        <w:pStyle w:val="Heading1"/>
      </w:pPr>
      <w:r>
        <w:t>2. Test basis</w:t>
      </w:r>
    </w:p>
    <w:p>
      <w:pPr>
        <w:ind w:left="454"/>
        <w:shd w:val="clear" w:color="auto" w:fill="FAFAFB"/>
      </w:pPr>
      <w:r>
        <w:rPr>
          <w:i/>
        </w:rPr>
        <w:t>The documents against which correctness is judged. If these are ambiguous,</w:t>
      </w:r>
    </w:p>
    <w:p>
      <w:pPr>
        <w:ind w:left="454"/>
        <w:shd w:val="clear" w:color="auto" w:fill="FAFAFB"/>
      </w:pPr>
      <w:r>
        <w:rPr>
          <w:i/>
        </w:rPr>
        <w:t>testing will be too.</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Document</w:t>
            </w:r>
          </w:p>
        </w:tc>
        <w:tc>
          <w:tcPr>
            <w:tcW w:type="dxa" w:w="3137"/>
            <w:shd w:val="clear" w:color="auto" w:fill="F1EAFE"/>
          </w:tcPr>
          <w:p>
            <w:pPr>
              <w:spacing w:after="40"/>
            </w:pPr>
            <w:r>
              <w:rPr>
                <w:b/>
                <w:sz w:val="18"/>
              </w:rPr>
            </w:r>
            <w:r>
              <w:rPr>
                <w:b/>
                <w:sz w:val="18"/>
              </w:rPr>
              <w:t>Version</w:t>
            </w:r>
          </w:p>
        </w:tc>
        <w:tc>
          <w:tcPr>
            <w:tcW w:type="dxa" w:w="3137"/>
            <w:shd w:val="clear" w:color="auto" w:fill="F1EAFE"/>
          </w:tcPr>
          <w:p>
            <w:pPr>
              <w:spacing w:after="40"/>
            </w:pPr>
            <w:r>
              <w:rPr>
                <w:b/>
                <w:sz w:val="18"/>
              </w:rPr>
            </w:r>
            <w:r>
              <w:rPr>
                <w:b/>
                <w:sz w:val="18"/>
              </w:rPr>
              <w:t>Owner</w:t>
            </w:r>
          </w:p>
        </w:tc>
      </w:tr>
      <w:tr>
        <w:tc>
          <w:tcPr>
            <w:tcW w:type="dxa" w:w="3137"/>
          </w:tcPr>
          <w:p>
            <w:pPr>
              <w:spacing w:after="40"/>
            </w:pPr>
            <w:r>
              <w:rPr>
                <w:sz w:val="18"/>
              </w:rPr>
            </w:r>
            <w:r>
              <w:rPr>
                <w:sz w:val="18"/>
              </w:rPr>
              <w:t>BRD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Functional spec</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Acceptance criteria</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3. Approach by risk</w:t>
      </w:r>
    </w:p>
    <w:p>
      <w:pPr>
        <w:ind w:left="454"/>
        <w:shd w:val="clear" w:color="auto" w:fill="FAFAFB"/>
      </w:pPr>
      <w:r>
        <w:rPr>
          <w:i/>
        </w:rPr>
        <w:t>Not everything deserves equal effort. Rank by (likelihood of failure) x (cost of failure).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Area</w:t>
            </w:r>
          </w:p>
        </w:tc>
        <w:tc>
          <w:tcPr>
            <w:tcW w:type="dxa" w:w="2353"/>
            <w:shd w:val="clear" w:color="auto" w:fill="F1EAFE"/>
          </w:tcPr>
          <w:p>
            <w:pPr>
              <w:spacing w:after="40"/>
            </w:pPr>
            <w:r>
              <w:rPr>
                <w:b/>
                <w:sz w:val="18"/>
              </w:rPr>
            </w:r>
            <w:r>
              <w:rPr>
                <w:b/>
                <w:sz w:val="18"/>
              </w:rPr>
              <w:t>Risk</w:t>
            </w:r>
          </w:p>
        </w:tc>
        <w:tc>
          <w:tcPr>
            <w:tcW w:type="dxa" w:w="2353"/>
            <w:shd w:val="clear" w:color="auto" w:fill="F1EAFE"/>
          </w:tcPr>
          <w:p>
            <w:pPr>
              <w:spacing w:after="40"/>
            </w:pPr>
            <w:r>
              <w:rPr>
                <w:b/>
                <w:sz w:val="18"/>
              </w:rPr>
            </w:r>
            <w:r>
              <w:rPr>
                <w:b/>
                <w:sz w:val="18"/>
              </w:rPr>
              <w:t>Depth of testing</w:t>
            </w:r>
          </w:p>
        </w:tc>
        <w:tc>
          <w:tcPr>
            <w:tcW w:type="dxa" w:w="2353"/>
            <w:shd w:val="clear" w:color="auto" w:fill="F1EAFE"/>
          </w:tcPr>
          <w:p>
            <w:pPr>
              <w:spacing w:after="40"/>
            </w:pPr>
            <w:r>
              <w:rPr>
                <w:b/>
                <w:sz w:val="18"/>
              </w:rPr>
            </w:r>
            <w:r>
              <w:rPr>
                <w:b/>
                <w:sz w:val="18"/>
              </w:rPr>
              <w:t>Rationale</w:t>
            </w:r>
          </w:p>
        </w:tc>
      </w:tr>
      <w:tr>
        <w:tc>
          <w:tcPr>
            <w:tcW w:type="dxa" w:w="2353"/>
          </w:tcPr>
          <w:p>
            <w:pPr>
              <w:spacing w:after="40"/>
            </w:pPr>
            <w:r>
              <w:rPr>
                <w:sz w:val="18"/>
              </w:rPr>
            </w:r>
          </w:p>
        </w:tc>
        <w:tc>
          <w:tcPr>
            <w:tcW w:type="dxa" w:w="2353"/>
          </w:tcPr>
          <w:p>
            <w:pPr>
              <w:spacing w:after="40"/>
            </w:pPr>
            <w:r>
              <w:rPr>
                <w:sz w:val="18"/>
              </w:rPr>
            </w:r>
            <w:r>
              <w:rPr>
                <w:sz w:val="18"/>
              </w:rPr>
              <w:t>H/M/L</w:t>
            </w:r>
          </w:p>
        </w:tc>
        <w:tc>
          <w:tcPr>
            <w:tcW w:type="dxa" w:w="2353"/>
          </w:tcPr>
          <w:p>
            <w:pPr>
              <w:spacing w:after="40"/>
            </w:pPr>
            <w:r>
              <w:rPr>
                <w:sz w:val="18"/>
              </w:rPr>
            </w:r>
            <w:r>
              <w:rPr>
                <w:sz w:val="18"/>
              </w:rPr>
              <w:t>Exhaustive / Standard / Smoke</w:t>
            </w:r>
          </w:p>
        </w:tc>
        <w:tc>
          <w:tcPr>
            <w:tcW w:type="dxa" w:w="2353"/>
          </w:tcPr>
          <w:p>
            <w:pPr>
              <w:spacing w:after="40"/>
            </w:pPr>
            <w:r>
              <w:rPr>
                <w:sz w:val="18"/>
              </w:rPr>
            </w:r>
          </w:p>
        </w:tc>
      </w:tr>
    </w:tbl>
    <w:p>
      <w:pPr>
        <w:spacing w:after="40"/>
      </w:pPr>
    </w:p>
    <w:p>
      <w:pPr>
        <w:pStyle w:val="Heading1"/>
      </w:pPr>
      <w:r>
        <w:t>4. Test types in scope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Type</w:t>
            </w:r>
          </w:p>
        </w:tc>
        <w:tc>
          <w:tcPr>
            <w:tcW w:type="dxa" w:w="2353"/>
            <w:shd w:val="clear" w:color="auto" w:fill="F1EAFE"/>
          </w:tcPr>
          <w:p>
            <w:pPr>
              <w:spacing w:after="40"/>
            </w:pPr>
            <w:r>
              <w:rPr>
                <w:b/>
                <w:sz w:val="18"/>
              </w:rPr>
            </w:r>
            <w:r>
              <w:rPr>
                <w:b/>
                <w:sz w:val="18"/>
              </w:rPr>
              <w:t>In scope?</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Notes</w:t>
            </w:r>
          </w:p>
        </w:tc>
      </w:tr>
      <w:tr>
        <w:tc>
          <w:tcPr>
            <w:tcW w:type="dxa" w:w="2353"/>
          </w:tcPr>
          <w:p>
            <w:pPr>
              <w:spacing w:after="40"/>
            </w:pPr>
            <w:r>
              <w:rPr>
                <w:sz w:val="18"/>
              </w:rPr>
            </w:r>
            <w:r>
              <w:rPr>
                <w:sz w:val="18"/>
              </w:rPr>
              <w:t>Functional</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Regression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Integration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Performance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Security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Accessibility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Usability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Data migration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Disaster recovery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5. Entry criteria</w:t>
      </w:r>
    </w:p>
    <w:p>
      <w:pPr>
        <w:ind w:left="454"/>
        <w:shd w:val="clear" w:color="auto" w:fill="FAFAFB"/>
      </w:pPr>
      <w:r>
        <w:rPr>
          <w:i/>
        </w:rPr>
        <w:t>Testing does not start until ALL of these are true. Starting early produces</w:t>
      </w:r>
    </w:p>
    <w:p>
      <w:pPr>
        <w:ind w:left="454"/>
        <w:shd w:val="clear" w:color="auto" w:fill="FAFAFB"/>
      </w:pPr>
      <w:r>
        <w:rPr>
          <w:i/>
        </w:rPr>
        <w:t>noise that discredits the whole effort.</w:t>
      </w:r>
    </w:p>
    <w:p>
      <w:pPr>
        <w:pStyle w:val="ListBullet"/>
      </w:pPr>
      <w:r>
        <w:t>[ ] Requirements baselined</w:t>
      </w:r>
    </w:p>
    <w:p>
      <w:pPr>
        <w:pStyle w:val="ListBullet"/>
      </w:pPr>
      <w:r>
        <w:t>[ ] Build deployed to the test environment and smoke-passes</w:t>
      </w:r>
    </w:p>
    <w:p>
      <w:pPr>
        <w:pStyle w:val="ListBullet"/>
      </w:pPr>
      <w:r>
        <w:t>[ ] Test data available and representative</w:t>
      </w:r>
    </w:p>
    <w:p>
      <w:pPr>
        <w:pStyle w:val="ListBullet"/>
      </w:pPr>
      <w:r>
        <w:t>[ ] Known open defects from the previous cycle documented</w:t>
      </w:r>
    </w:p>
    <w:p>
      <w:pPr>
        <w:pStyle w:val="ListBullet"/>
      </w:pPr>
      <w:r>
        <w:t>[ ] Environment matches production in the ways that matter</w:t>
      </w:r>
    </w:p>
    <w:p>
      <w:pPr>
        <w:pStyle w:val="Heading1"/>
      </w:pPr>
      <w:r>
        <w:t>6. Exit criteria</w:t>
      </w:r>
    </w:p>
    <w:p>
      <w:pPr>
        <w:ind w:left="454"/>
        <w:shd w:val="clear" w:color="auto" w:fill="FAFAFB"/>
      </w:pPr>
      <w:r>
        <w:rPr>
          <w:i/>
        </w:rPr>
        <w:t>Agree these BEFORE testing, or "are we done?" becomes a negotiation.</w:t>
      </w:r>
    </w:p>
    <w:p>
      <w:pPr>
        <w:pStyle w:val="ListBullet"/>
      </w:pPr>
      <w:r>
        <w:t>[ ] 100% of planned test cases executed</w:t>
      </w:r>
    </w:p>
    <w:p>
      <w:pPr>
        <w:pStyle w:val="ListBullet"/>
      </w:pPr>
      <w:r>
        <w:t>[ ] Zero open Critical or High defects</w:t>
      </w:r>
    </w:p>
    <w:p>
      <w:pPr>
        <w:pStyle w:val="ListBullet"/>
      </w:pPr>
      <w:r>
        <w:t>[ ] Medium defects triaged and accepted by the sponsor</w:t>
      </w:r>
    </w:p>
    <w:p>
      <w:pPr>
        <w:pStyle w:val="ListBullet"/>
      </w:pPr>
      <w:r>
        <w:t>[ ] Requirements traceability complete, every requirement has a result</w:t>
      </w:r>
    </w:p>
    <w:p>
      <w:pPr>
        <w:pStyle w:val="ListBullet"/>
      </w:pPr>
      <w:r>
        <w:t>[ ] Performance thresholds met</w:t>
      </w:r>
    </w:p>
    <w:p>
      <w:pPr>
        <w:pStyle w:val="ListBullet"/>
      </w:pPr>
      <w:r>
        <w:t>[ ] Sign-off obtained from: _______________</w:t>
      </w:r>
    </w:p>
    <w:p>
      <w:pPr>
        <w:pStyle w:val="Heading1"/>
      </w:pPr>
      <w:r>
        <w:t>7. Environments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Environment</w:t>
            </w:r>
          </w:p>
        </w:tc>
        <w:tc>
          <w:tcPr>
            <w:tcW w:type="dxa" w:w="1882"/>
            <w:shd w:val="clear" w:color="auto" w:fill="F1EAFE"/>
          </w:tcPr>
          <w:p>
            <w:pPr>
              <w:spacing w:after="40"/>
            </w:pPr>
            <w:r>
              <w:rPr>
                <w:b/>
                <w:sz w:val="18"/>
              </w:rPr>
            </w:r>
            <w:r>
              <w:rPr>
                <w:b/>
                <w:sz w:val="18"/>
              </w:rPr>
              <w:t>Purpose</w:t>
            </w:r>
          </w:p>
        </w:tc>
        <w:tc>
          <w:tcPr>
            <w:tcW w:type="dxa" w:w="1882"/>
            <w:shd w:val="clear" w:color="auto" w:fill="F1EAFE"/>
          </w:tcPr>
          <w:p>
            <w:pPr>
              <w:spacing w:after="40"/>
            </w:pPr>
            <w:r>
              <w:rPr>
                <w:b/>
                <w:sz w:val="18"/>
              </w:rPr>
            </w:r>
            <w:r>
              <w:rPr>
                <w:b/>
                <w:sz w:val="18"/>
              </w:rPr>
              <w:t>Data</w:t>
            </w:r>
          </w:p>
        </w:tc>
        <w:tc>
          <w:tcPr>
            <w:tcW w:type="dxa" w:w="1882"/>
            <w:shd w:val="clear" w:color="auto" w:fill="F1EAFE"/>
          </w:tcPr>
          <w:p>
            <w:pPr>
              <w:spacing w:after="40"/>
            </w:pPr>
            <w:r>
              <w:rPr>
                <w:b/>
                <w:sz w:val="18"/>
              </w:rPr>
            </w:r>
            <w:r>
              <w:rPr>
                <w:b/>
                <w:sz w:val="18"/>
              </w:rPr>
              <w:t>Refreshed</w:t>
            </w:r>
          </w:p>
        </w:tc>
        <w:tc>
          <w:tcPr>
            <w:tcW w:type="dxa" w:w="1882"/>
            <w:shd w:val="clear" w:color="auto" w:fill="F1EAFE"/>
          </w:tcPr>
          <w:p>
            <w:pPr>
              <w:spacing w:after="40"/>
            </w:pPr>
            <w:r>
              <w:rPr>
                <w:b/>
                <w:sz w:val="18"/>
              </w:rPr>
            </w:r>
            <w:r>
              <w:rPr>
                <w:b/>
                <w:sz w:val="18"/>
              </w:rPr>
              <w:t>Owner</w:t>
            </w:r>
          </w:p>
        </w:tc>
      </w:tr>
      <w:tr>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r>
              <w:rPr>
                <w:sz w:val="18"/>
              </w:rPr>
              <w:t>Real / Masked / Synthetic</w:t>
            </w:r>
          </w:p>
        </w:tc>
        <w:tc>
          <w:tcPr>
            <w:tcW w:type="dxa" w:w="1882"/>
          </w:tcPr>
          <w:p>
            <w:pPr>
              <w:spacing w:after="40"/>
            </w:pPr>
            <w:r>
              <w:rPr>
                <w:sz w:val="18"/>
              </w:rPr>
            </w:r>
          </w:p>
        </w:tc>
        <w:tc>
          <w:tcPr>
            <w:tcW w:type="dxa" w:w="1882"/>
          </w:tcPr>
          <w:p>
            <w:pPr>
              <w:spacing w:after="40"/>
            </w:pPr>
            <w:r>
              <w:rPr>
                <w:sz w:val="18"/>
              </w:rPr>
            </w:r>
          </w:p>
        </w:tc>
      </w:tr>
    </w:tbl>
    <w:p>
      <w:pPr>
        <w:spacing w:after="40"/>
      </w:pPr>
    </w:p>
    <w:p>
      <w:pPr>
        <w:ind w:left="454"/>
        <w:shd w:val="clear" w:color="auto" w:fill="FAFAFB"/>
      </w:pPr>
      <w:r>
        <w:rPr>
          <w:i/>
        </w:rPr>
        <w:t>If test data differs from production in shape or volume, say how. Most</w:t>
      </w:r>
    </w:p>
    <w:p>
      <w:pPr>
        <w:ind w:left="454"/>
        <w:shd w:val="clear" w:color="auto" w:fill="FAFAFB"/>
      </w:pPr>
      <w:r>
        <w:rPr>
          <w:i/>
        </w:rPr>
        <w:t>"worked in test" failures trace to this row.</w:t>
      </w:r>
    </w:p>
    <w:p>
      <w:pPr>
        <w:pStyle w:val="Heading1"/>
      </w:pPr>
      <w:r>
        <w:t>8. Test data</w:t>
      </w:r>
    </w:p>
    <w:p>
      <w:r>
        <w:rPr>
          <w:b/>
        </w:rPr>
        <w:t>Source:</w:t>
      </w:r>
      <w:r>
        <w:t xml:space="preserve"> </w:t>
      </w:r>
      <w:r>
        <w:rPr>
          <w:b/>
        </w:rPr>
        <w:t>Personal data handling:</w:t>
      </w:r>
      <w:r>
        <w:t xml:space="preserve"> </w:t>
      </w:r>
      <w:r>
        <w:rPr>
          <w:b/>
        </w:rPr>
        <w:t>How it is refreshed:</w:t>
      </w:r>
    </w:p>
    <w:p>
      <w:pPr>
        <w:pStyle w:val="Heading1"/>
      </w:pPr>
      <w:r>
        <w:t>9. Defect management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Severity</w:t>
            </w:r>
          </w:p>
        </w:tc>
        <w:tc>
          <w:tcPr>
            <w:tcW w:type="dxa" w:w="3137"/>
            <w:shd w:val="clear" w:color="auto" w:fill="F1EAFE"/>
          </w:tcPr>
          <w:p>
            <w:pPr>
              <w:spacing w:after="40"/>
            </w:pPr>
            <w:r>
              <w:rPr>
                <w:b/>
                <w:sz w:val="18"/>
              </w:rPr>
            </w:r>
            <w:r>
              <w:rPr>
                <w:b/>
                <w:sz w:val="18"/>
              </w:rPr>
              <w:t>Definition</w:t>
            </w:r>
          </w:p>
        </w:tc>
        <w:tc>
          <w:tcPr>
            <w:tcW w:type="dxa" w:w="3137"/>
            <w:shd w:val="clear" w:color="auto" w:fill="F1EAFE"/>
          </w:tcPr>
          <w:p>
            <w:pPr>
              <w:spacing w:after="40"/>
            </w:pPr>
            <w:r>
              <w:rPr>
                <w:b/>
                <w:sz w:val="18"/>
              </w:rPr>
            </w:r>
            <w:r>
              <w:rPr>
                <w:b/>
                <w:sz w:val="18"/>
              </w:rPr>
              <w:t>Response</w:t>
            </w:r>
          </w:p>
        </w:tc>
      </w:tr>
      <w:tr>
        <w:tc>
          <w:tcPr>
            <w:tcW w:type="dxa" w:w="3137"/>
          </w:tcPr>
          <w:p>
            <w:pPr>
              <w:spacing w:after="40"/>
            </w:pPr>
            <w:r>
              <w:rPr>
                <w:sz w:val="18"/>
              </w:rPr>
            </w:r>
            <w:r>
              <w:rPr>
                <w:sz w:val="18"/>
              </w:rPr>
              <w:t>Critical</w:t>
            </w:r>
          </w:p>
        </w:tc>
        <w:tc>
          <w:tcPr>
            <w:tcW w:type="dxa" w:w="3137"/>
          </w:tcPr>
          <w:p>
            <w:pPr>
              <w:spacing w:after="40"/>
            </w:pPr>
            <w:r>
              <w:rPr>
                <w:sz w:val="18"/>
              </w:rPr>
            </w:r>
            <w:r>
              <w:rPr>
                <w:sz w:val="18"/>
              </w:rPr>
              <w:t>Blocks core business function, no workaround</w:t>
            </w:r>
          </w:p>
        </w:tc>
        <w:tc>
          <w:tcPr>
            <w:tcW w:type="dxa" w:w="3137"/>
          </w:tcPr>
          <w:p>
            <w:pPr>
              <w:spacing w:after="40"/>
            </w:pPr>
            <w:r>
              <w:rPr>
                <w:sz w:val="18"/>
              </w:rPr>
            </w:r>
            <w:r>
              <w:rPr>
                <w:sz w:val="18"/>
              </w:rPr>
              <w:t>Fix immediately, stop the release</w:t>
            </w:r>
          </w:p>
        </w:tc>
      </w:tr>
      <w:tr>
        <w:tc>
          <w:tcPr>
            <w:tcW w:type="dxa" w:w="3137"/>
          </w:tcPr>
          <w:p>
            <w:pPr>
              <w:spacing w:after="40"/>
            </w:pPr>
            <w:r>
              <w:rPr>
                <w:sz w:val="18"/>
              </w:rPr>
            </w:r>
            <w:r>
              <w:rPr>
                <w:sz w:val="18"/>
              </w:rPr>
              <w:t>High</w:t>
            </w:r>
          </w:p>
        </w:tc>
        <w:tc>
          <w:tcPr>
            <w:tcW w:type="dxa" w:w="3137"/>
          </w:tcPr>
          <w:p>
            <w:pPr>
              <w:spacing w:after="40"/>
            </w:pPr>
            <w:r>
              <w:rPr>
                <w:sz w:val="18"/>
              </w:rPr>
            </w:r>
            <w:r>
              <w:rPr>
                <w:sz w:val="18"/>
              </w:rPr>
              <w:t>Major function impaired, workaround painful</w:t>
            </w:r>
          </w:p>
        </w:tc>
        <w:tc>
          <w:tcPr>
            <w:tcW w:type="dxa" w:w="3137"/>
          </w:tcPr>
          <w:p>
            <w:pPr>
              <w:spacing w:after="40"/>
            </w:pPr>
            <w:r>
              <w:rPr>
                <w:sz w:val="18"/>
              </w:rPr>
            </w:r>
            <w:r>
              <w:rPr>
                <w:sz w:val="18"/>
              </w:rPr>
              <w:t>Fix before release</w:t>
            </w:r>
          </w:p>
        </w:tc>
      </w:tr>
      <w:tr>
        <w:tc>
          <w:tcPr>
            <w:tcW w:type="dxa" w:w="3137"/>
          </w:tcPr>
          <w:p>
            <w:pPr>
              <w:spacing w:after="40"/>
            </w:pPr>
            <w:r>
              <w:rPr>
                <w:sz w:val="18"/>
              </w:rPr>
            </w:r>
            <w:r>
              <w:rPr>
                <w:sz w:val="18"/>
              </w:rPr>
              <w:t>Medium</w:t>
            </w:r>
          </w:p>
        </w:tc>
        <w:tc>
          <w:tcPr>
            <w:tcW w:type="dxa" w:w="3137"/>
          </w:tcPr>
          <w:p>
            <w:pPr>
              <w:spacing w:after="40"/>
            </w:pPr>
            <w:r>
              <w:rPr>
                <w:sz w:val="18"/>
              </w:rPr>
            </w:r>
            <w:r>
              <w:rPr>
                <w:sz w:val="18"/>
              </w:rPr>
              <w:t>Function impaired, workaround acceptable</w:t>
            </w:r>
          </w:p>
        </w:tc>
        <w:tc>
          <w:tcPr>
            <w:tcW w:type="dxa" w:w="3137"/>
          </w:tcPr>
          <w:p>
            <w:pPr>
              <w:spacing w:after="40"/>
            </w:pPr>
            <w:r>
              <w:rPr>
                <w:sz w:val="18"/>
              </w:rPr>
            </w:r>
            <w:r>
              <w:rPr>
                <w:sz w:val="18"/>
              </w:rPr>
              <w:t>Fix or accept explicitly</w:t>
            </w:r>
          </w:p>
        </w:tc>
      </w:tr>
      <w:tr>
        <w:tc>
          <w:tcPr>
            <w:tcW w:type="dxa" w:w="3137"/>
          </w:tcPr>
          <w:p>
            <w:pPr>
              <w:spacing w:after="40"/>
            </w:pPr>
            <w:r>
              <w:rPr>
                <w:sz w:val="18"/>
              </w:rPr>
            </w:r>
            <w:r>
              <w:rPr>
                <w:sz w:val="18"/>
              </w:rPr>
              <w:t>Low</w:t>
            </w:r>
          </w:p>
        </w:tc>
        <w:tc>
          <w:tcPr>
            <w:tcW w:type="dxa" w:w="3137"/>
          </w:tcPr>
          <w:p>
            <w:pPr>
              <w:spacing w:after="40"/>
            </w:pPr>
            <w:r>
              <w:rPr>
                <w:sz w:val="18"/>
              </w:rPr>
            </w:r>
            <w:r>
              <w:rPr>
                <w:sz w:val="18"/>
              </w:rPr>
              <w:t>Cosmetic or minor</w:t>
            </w:r>
          </w:p>
        </w:tc>
        <w:tc>
          <w:tcPr>
            <w:tcW w:type="dxa" w:w="3137"/>
          </w:tcPr>
          <w:p>
            <w:pPr>
              <w:spacing w:after="40"/>
            </w:pPr>
            <w:r>
              <w:rPr>
                <w:sz w:val="18"/>
              </w:rPr>
            </w:r>
            <w:r>
              <w:rPr>
                <w:sz w:val="18"/>
              </w:rPr>
              <w:t>Backlog</w:t>
            </w:r>
          </w:p>
        </w:tc>
      </w:tr>
    </w:tbl>
    <w:p>
      <w:pPr>
        <w:spacing w:after="40"/>
      </w:pPr>
    </w:p>
    <w:p>
      <w:r>
        <w:rPr>
          <w:b/>
        </w:rPr>
        <w:t>Triage:</w:t>
      </w:r>
      <w:r>
        <w:t xml:space="preserve"> who, how often.</w:t>
      </w:r>
    </w:p>
    <w:p>
      <w:pPr>
        <w:pStyle w:val="Heading1"/>
      </w:pPr>
      <w:r>
        <w:t>10. Traceability</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Requirement</w:t>
            </w:r>
          </w:p>
        </w:tc>
        <w:tc>
          <w:tcPr>
            <w:tcW w:type="dxa" w:w="2353"/>
            <w:shd w:val="clear" w:color="auto" w:fill="F1EAFE"/>
          </w:tcPr>
          <w:p>
            <w:pPr>
              <w:spacing w:after="40"/>
            </w:pPr>
            <w:r>
              <w:rPr>
                <w:b/>
                <w:sz w:val="18"/>
              </w:rPr>
            </w:r>
            <w:r>
              <w:rPr>
                <w:b/>
                <w:sz w:val="18"/>
              </w:rPr>
              <w:t>Test case(s)</w:t>
            </w:r>
          </w:p>
        </w:tc>
        <w:tc>
          <w:tcPr>
            <w:tcW w:type="dxa" w:w="2353"/>
            <w:shd w:val="clear" w:color="auto" w:fill="F1EAFE"/>
          </w:tcPr>
          <w:p>
            <w:pPr>
              <w:spacing w:after="40"/>
            </w:pPr>
            <w:r>
              <w:rPr>
                <w:b/>
                <w:sz w:val="18"/>
              </w:rPr>
            </w:r>
            <w:r>
              <w:rPr>
                <w:b/>
                <w:sz w:val="18"/>
              </w:rPr>
              <w:t>Result</w:t>
            </w:r>
          </w:p>
        </w:tc>
        <w:tc>
          <w:tcPr>
            <w:tcW w:type="dxa" w:w="2353"/>
            <w:shd w:val="clear" w:color="auto" w:fill="F1EAFE"/>
          </w:tcPr>
          <w:p>
            <w:pPr>
              <w:spacing w:after="40"/>
            </w:pPr>
            <w:r>
              <w:rPr>
                <w:b/>
                <w:sz w:val="18"/>
              </w:rPr>
            </w:r>
            <w:r>
              <w:rPr>
                <w:b/>
                <w:sz w:val="18"/>
              </w:rPr>
              <w:t>Evidence</w:t>
            </w:r>
          </w:p>
        </w:tc>
      </w:tr>
      <w:tr>
        <w:tc>
          <w:tcPr>
            <w:tcW w:type="dxa" w:w="2353"/>
          </w:tcPr>
          <w:p>
            <w:pPr>
              <w:spacing w:after="40"/>
            </w:pPr>
            <w:r>
              <w:rPr>
                <w:sz w:val="18"/>
              </w:rPr>
            </w:r>
            <w:r>
              <w:rPr>
                <w:sz w:val="18"/>
              </w:rPr>
              <w:t>BR-001</w:t>
            </w:r>
          </w:p>
        </w:tc>
        <w:tc>
          <w:tcPr>
            <w:tcW w:type="dxa" w:w="2353"/>
          </w:tcPr>
          <w:p>
            <w:pPr>
              <w:spacing w:after="40"/>
            </w:pPr>
            <w:r>
              <w:rPr>
                <w:sz w:val="18"/>
              </w:rPr>
            </w:r>
          </w:p>
        </w:tc>
        <w:tc>
          <w:tcPr>
            <w:tcW w:type="dxa" w:w="2353"/>
          </w:tcPr>
          <w:p>
            <w:pPr>
              <w:spacing w:after="40"/>
            </w:pPr>
            <w:r>
              <w:rPr>
                <w:sz w:val="18"/>
              </w:rPr>
            </w:r>
            <w:r>
              <w:rPr>
                <w:sz w:val="18"/>
              </w:rPr>
              <w:t>Pass / Fail / Blocked</w:t>
            </w:r>
          </w:p>
        </w:tc>
        <w:tc>
          <w:tcPr>
            <w:tcW w:type="dxa" w:w="2353"/>
          </w:tcPr>
          <w:p>
            <w:pPr>
              <w:spacing w:after="40"/>
            </w:pPr>
            <w:r>
              <w:rPr>
                <w:sz w:val="18"/>
              </w:rPr>
            </w:r>
          </w:p>
        </w:tc>
      </w:tr>
    </w:tbl>
    <w:p>
      <w:pPr>
        <w:spacing w:after="40"/>
      </w:pPr>
    </w:p>
    <w:p>
      <w:pPr>
        <w:pStyle w:val="Heading1"/>
      </w:pPr>
      <w:r>
        <w:t>11. Schedule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Phase</w:t>
            </w:r>
          </w:p>
        </w:tc>
        <w:tc>
          <w:tcPr>
            <w:tcW w:type="dxa" w:w="2353"/>
            <w:shd w:val="clear" w:color="auto" w:fill="F1EAFE"/>
          </w:tcPr>
          <w:p>
            <w:pPr>
              <w:spacing w:after="40"/>
            </w:pPr>
            <w:r>
              <w:rPr>
                <w:b/>
                <w:sz w:val="18"/>
              </w:rPr>
            </w:r>
            <w:r>
              <w:rPr>
                <w:b/>
                <w:sz w:val="18"/>
              </w:rPr>
              <w:t>Start</w:t>
            </w:r>
          </w:p>
        </w:tc>
        <w:tc>
          <w:tcPr>
            <w:tcW w:type="dxa" w:w="2353"/>
            <w:shd w:val="clear" w:color="auto" w:fill="F1EAFE"/>
          </w:tcPr>
          <w:p>
            <w:pPr>
              <w:spacing w:after="40"/>
            </w:pPr>
            <w:r>
              <w:rPr>
                <w:b/>
                <w:sz w:val="18"/>
              </w:rPr>
            </w:r>
            <w:r>
              <w:rPr>
                <w:b/>
                <w:sz w:val="18"/>
              </w:rPr>
              <w:t>End</w:t>
            </w:r>
          </w:p>
        </w:tc>
        <w:tc>
          <w:tcPr>
            <w:tcW w:type="dxa" w:w="2353"/>
            <w:shd w:val="clear" w:color="auto" w:fill="F1EAFE"/>
          </w:tcPr>
          <w:p>
            <w:pPr>
              <w:spacing w:after="40"/>
            </w:pPr>
            <w:r>
              <w:rPr>
                <w:b/>
                <w:sz w:val="18"/>
              </w:rPr>
            </w:r>
            <w:r>
              <w:rPr>
                <w:b/>
                <w:sz w:val="18"/>
              </w:rPr>
              <w:t>Owner</w:t>
            </w:r>
          </w:p>
        </w:tc>
      </w:tr>
      <w:tr>
        <w:tc>
          <w:tcPr>
            <w:tcW w:type="dxa" w:w="2353"/>
          </w:tcPr>
          <w:p>
            <w:pPr>
              <w:spacing w:after="40"/>
            </w:pPr>
            <w:r>
              <w:rPr>
                <w:sz w:val="18"/>
              </w:rPr>
            </w:r>
            <w:r>
              <w:rPr>
                <w:sz w:val="18"/>
              </w:rPr>
              <w:t>Test preparation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Execution cycle 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Regression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UAT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12. Risks to testing itself</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Risk</w:t>
            </w:r>
          </w:p>
        </w:tc>
        <w:tc>
          <w:tcPr>
            <w:tcW w:type="dxa" w:w="4706"/>
            <w:shd w:val="clear" w:color="auto" w:fill="F1EAFE"/>
          </w:tcPr>
          <w:p>
            <w:pPr>
              <w:spacing w:after="40"/>
            </w:pPr>
            <w:r>
              <w:rPr>
                <w:b/>
                <w:sz w:val="18"/>
              </w:rPr>
            </w:r>
            <w:r>
              <w:rPr>
                <w:b/>
                <w:sz w:val="18"/>
              </w:rPr>
              <w:t>Mitigation</w:t>
            </w:r>
          </w:p>
        </w:tc>
      </w:tr>
      <w:tr>
        <w:tc>
          <w:tcPr>
            <w:tcW w:type="dxa" w:w="4706"/>
          </w:tcPr>
          <w:p>
            <w:pPr>
              <w:spacing w:after="40"/>
            </w:pPr>
            <w:r>
              <w:rPr>
                <w:sz w:val="18"/>
              </w:rPr>
            </w:r>
            <w:r>
              <w:rPr>
                <w:sz w:val="18"/>
              </w:rPr>
              <w:t>Environment unavailable</w:t>
            </w:r>
          </w:p>
        </w:tc>
        <w:tc>
          <w:tcPr>
            <w:tcW w:type="dxa" w:w="4706"/>
          </w:tcPr>
          <w:p>
            <w:pPr>
              <w:spacing w:after="40"/>
            </w:pPr>
            <w:r>
              <w:rPr>
                <w:sz w:val="18"/>
              </w:rPr>
            </w:r>
          </w:p>
        </w:tc>
      </w:tr>
      <w:tr>
        <w:tc>
          <w:tcPr>
            <w:tcW w:type="dxa" w:w="4706"/>
          </w:tcPr>
          <w:p>
            <w:pPr>
              <w:spacing w:after="40"/>
            </w:pPr>
            <w:r>
              <w:rPr>
                <w:sz w:val="18"/>
              </w:rPr>
            </w:r>
            <w:r>
              <w:rPr>
                <w:sz w:val="18"/>
              </w:rPr>
              <w:t>Test data not ready</w:t>
            </w:r>
          </w:p>
        </w:tc>
        <w:tc>
          <w:tcPr>
            <w:tcW w:type="dxa" w:w="4706"/>
          </w:tcPr>
          <w:p>
            <w:pPr>
              <w:spacing w:after="40"/>
            </w:pPr>
            <w:r>
              <w:rPr>
                <w:sz w:val="18"/>
              </w:rPr>
            </w:r>
          </w:p>
        </w:tc>
      </w:tr>
      <w:tr>
        <w:tc>
          <w:tcPr>
            <w:tcW w:type="dxa" w:w="4706"/>
          </w:tcPr>
          <w:p>
            <w:pPr>
              <w:spacing w:after="40"/>
            </w:pPr>
            <w:r>
              <w:rPr>
                <w:sz w:val="18"/>
              </w:rPr>
            </w:r>
            <w:r>
              <w:rPr>
                <w:sz w:val="18"/>
              </w:rPr>
              <w:t>Requirements still changing</w:t>
            </w:r>
          </w:p>
        </w:tc>
        <w:tc>
          <w:tcPr>
            <w:tcW w:type="dxa" w:w="4706"/>
          </w:tcPr>
          <w:p>
            <w:pPr>
              <w:spacing w:after="40"/>
            </w:pPr>
            <w:r>
              <w:rPr>
                <w:sz w:val="18"/>
              </w:rPr>
            </w:r>
          </w:p>
        </w:tc>
      </w:tr>
    </w:tbl>
    <w:p>
      <w:pPr>
        <w:spacing w:after="40"/>
      </w:pPr>
    </w:p>
    <w:p>
      <w:pPr>
        <w:pStyle w:val="Heading1"/>
      </w:pPr>
      <w:r>
        <w:t>13. Approval</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Role</w:t>
            </w:r>
          </w:p>
        </w:tc>
        <w:tc>
          <w:tcPr>
            <w:tcW w:type="dxa" w:w="3137"/>
            <w:shd w:val="clear" w:color="auto" w:fill="F1EAFE"/>
          </w:tcPr>
          <w:p>
            <w:pPr>
              <w:spacing w:after="40"/>
            </w:pPr>
            <w:r>
              <w:rPr>
                <w:b/>
                <w:sz w:val="18"/>
              </w:rPr>
            </w:r>
            <w:r>
              <w:rPr>
                <w:b/>
                <w:sz w:val="18"/>
              </w:rPr>
              <w:t>Date</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Test Plan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Plan</dc:title>
  <dc:subject/>
  <dc:creator>BvLogic</dc:creator>
  <cp:keywords>BvLogic, Plan, enterprise AI, Test Plan</cp:keywords>
  <dc:description/>
  <cp:lastModifiedBy/>
  <cp:revision>1</cp:revision>
  <dcterms:created xsi:type="dcterms:W3CDTF">2013-12-23T23:15:00Z</dcterms:created>
  <dcterms:modified xsi:type="dcterms:W3CDTF">2013-12-23T23:15:00Z</dcterms:modified>
  <cp:category>Plan</cp:category>
  <dc:language>en-GB</dc:language>
</cp:coreProperties>
</file>