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Software Requirements Specification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BVL-8F820E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engineering contract. Every requirement here should be verifiable, and every number should</w:t>
      </w:r>
    </w:p>
    <w:p>
      <w:pPr>
        <w:ind w:left="454"/>
        <w:shd w:val="clear" w:color="auto" w:fill="FAFAFB"/>
      </w:pPr>
      <w:r>
        <w:rPr>
          <w:i/>
        </w:rPr>
        <w:t>have been derived from something rather than chosen because it sounded reasonable.</w:t>
      </w:r>
    </w:p>
    <w:p>
      <w:pPr>
        <w:ind w:left="454"/>
        <w:shd w:val="clear" w:color="auto" w:fill="FAFAFB"/>
      </w:pPr>
    </w:p>
    <w:p>
      <w:pPr>
        <w:ind w:left="454"/>
        <w:shd w:val="clear" w:color="auto" w:fill="FAFAFB"/>
      </w:pPr>
      <w:r>
        <w:rPr>
          <w:i/>
        </w:rPr>
        <w:t>Structure follows the conventional introduction / description / requirements shape; the</w:t>
      </w:r>
    </w:p>
    <w:p>
      <w:pPr>
        <w:ind w:left="454"/>
        <w:shd w:val="clear" w:color="auto" w:fill="FAFAFB"/>
      </w:pPr>
      <w:r>
        <w:rPr>
          <w:i/>
        </w:rPr>
        <w:t>international reference for requirements engineering is ISO/IEC/IEEE 29148.</w:t>
      </w:r>
    </w:p>
    <w:p>
      <w:r>
        <w:rPr>
          <w:b/>
        </w:rPr>
        <w:t>System:</w:t>
      </w:r>
      <w:r>
        <w:t xml:space="preserve"> _______________  </w:t>
      </w:r>
      <w:r>
        <w:rPr>
          <w:b/>
        </w:rPr>
        <w:t>Version:</w:t>
      </w:r>
      <w:r>
        <w:t xml:space="preserve"> ____  </w:t>
      </w:r>
      <w:r>
        <w:rPr>
          <w:b/>
        </w:rPr>
        <w:t>Date:</w:t>
      </w:r>
      <w:r>
        <w:t xml:space="preserve"> _______ </w:t>
      </w:r>
      <w:r>
        <w:rPr>
          <w:b/>
        </w:rPr>
        <w:t>Author:</w:t>
      </w:r>
      <w:r>
        <w:t xml:space="preserve"> _______________  </w:t>
      </w:r>
      <w:r>
        <w:rPr>
          <w:b/>
        </w:rPr>
        <w:t>Engineering owner:</w:t>
      </w:r>
      <w:r>
        <w:t xml:space="preserve"> _______________</w:t>
      </w:r>
    </w:p>
    <w:p>
      <w:pPr>
        <w:pStyle w:val="Heading1"/>
      </w:pPr>
      <w:r>
        <w:t>1. Introduction</w:t>
      </w:r>
    </w:p>
    <w:p>
      <w:r>
        <w:rPr>
          <w:b/>
        </w:rPr>
        <w:t>Purpose of this document:</w:t>
      </w:r>
      <w:r>
        <w:t xml:space="preserve"> _______________ </w:t>
      </w:r>
      <w:r>
        <w:rPr>
          <w:b/>
        </w:rPr>
        <w:t>System scope:</w:t>
      </w:r>
      <w:r>
        <w:t xml:space="preserve"> _______________ </w:t>
      </w:r>
      <w:r>
        <w:rPr>
          <w:b/>
        </w:rPr>
        <w:t>Explicitly excluded:</w:t>
      </w:r>
      <w:r>
        <w:t xml:space="preserve"> _______________ </w:t>
      </w:r>
      <w:r>
        <w:rPr>
          <w:b/>
        </w:rPr>
        <w:t>Intended readers:</w:t>
      </w:r>
      <w:r>
        <w:t xml:space="preserve"> _______________</w:t>
      </w:r>
    </w:p>
    <w:p>
      <w:pPr>
        <w:pStyle w:val="Heading1"/>
      </w:pPr>
      <w:r>
        <w:t>2. Overall description</w:t>
      </w:r>
    </w:p>
    <w:p>
      <w:r>
        <w:rPr>
          <w:b/>
        </w:rPr>
        <w:t>Context.</w:t>
      </w:r>
      <w:r>
        <w:t xml:space="preserve"> What this system sits between: _______________</w:t>
      </w:r>
    </w:p>
    <w:p>
      <w:r>
        <w:rPr>
          <w:b/>
        </w:rPr>
        <w:t>Users and their characteristics:</w:t>
      </w:r>
      <w:r>
        <w:t xml:space="preserve"> _______________</w:t>
      </w:r>
    </w:p>
    <w:p>
      <w:r>
        <w:rPr>
          <w:b/>
        </w:rPr>
        <w:t>Operating environment</w:t>
      </w:r>
      <w:r>
        <w:t xml:space="preserve"> (platforms, browsers, devices, networks): _______________</w:t>
      </w:r>
    </w:p>
    <w:p>
      <w:pPr>
        <w:pStyle w:val="Heading2"/>
      </w:pPr>
      <w:r>
        <w:t>Assumptions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Assumption</w:t>
            </w:r>
          </w:p>
        </w:tc>
        <w:tc>
          <w:tcPr>
            <w:tcW w:type="dxa" w:w="2353"/>
            <w:shd w:val="clear" w:color="auto" w:fill="F1EAFE"/>
          </w:tcPr>
          <w:p>
            <w:pPr>
              <w:spacing w:after="40"/>
            </w:pPr>
            <w:r>
              <w:rPr>
                <w:b/>
                <w:sz w:val="18"/>
              </w:rPr>
            </w:r>
            <w:r>
              <w:rPr>
                <w:b/>
                <w:sz w:val="18"/>
              </w:rPr>
              <w:t>Who confirms</w:t>
            </w:r>
          </w:p>
        </w:tc>
        <w:tc>
          <w:tcPr>
            <w:tcW w:type="dxa" w:w="2353"/>
            <w:shd w:val="clear" w:color="auto" w:fill="F1EAFE"/>
          </w:tcPr>
          <w:p>
            <w:pPr>
              <w:spacing w:after="40"/>
            </w:pPr>
            <w:r>
              <w:rPr>
                <w:b/>
                <w:sz w:val="18"/>
              </w:rPr>
            </w:r>
            <w:r>
              <w:rPr>
                <w:b/>
                <w:sz w:val="18"/>
              </w:rPr>
              <w:t>Confirmed</w:t>
            </w:r>
          </w:p>
        </w:tc>
      </w:tr>
      <w:tr>
        <w:tc>
          <w:tcPr>
            <w:tcW w:type="dxa" w:w="2353"/>
          </w:tcPr>
          <w:p>
            <w:pPr>
              <w:spacing w:after="40"/>
            </w:pPr>
            <w:r>
              <w:rPr>
                <w:sz w:val="18"/>
              </w:rPr>
            </w:r>
            <w:r>
              <w:rPr>
                <w:sz w:val="18"/>
              </w:rPr>
              <w:t>A1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2"/>
      </w:pPr>
      <w:r>
        <w:t>Dependencies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Depends on</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Risk if unavailable</w:t>
            </w:r>
          </w:p>
        </w:tc>
      </w:tr>
      <w:tr>
        <w:tc>
          <w:tcPr>
            <w:tcW w:type="dxa" w:w="2353"/>
          </w:tcPr>
          <w:p>
            <w:pPr>
              <w:spacing w:after="40"/>
            </w:pPr>
            <w:r>
              <w:rPr>
                <w:sz w:val="18"/>
              </w:rPr>
            </w:r>
            <w:r>
              <w:rPr>
                <w:sz w:val="18"/>
              </w:rPr>
              <w:t>D1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t>The assumptions table is where a project's real risk usually sits. "We assume the upstream system provides a unique identifier" is one line, and a quarter of work when wrong.</w:t>
      </w:r>
    </w:p>
    <w:p>
      <w:pPr>
        <w:pStyle w:val="Heading1"/>
      </w:pPr>
      <w:r>
        <w:t>3. Functional requirements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ID</w:t>
            </w:r>
          </w:p>
        </w:tc>
        <w:tc>
          <w:tcPr>
            <w:tcW w:type="dxa" w:w="2353"/>
            <w:shd w:val="clear" w:color="auto" w:fill="F1EAFE"/>
          </w:tcPr>
          <w:p>
            <w:pPr>
              <w:spacing w:after="40"/>
            </w:pPr>
            <w:r>
              <w:rPr>
                <w:b/>
                <w:sz w:val="18"/>
              </w:rPr>
            </w:r>
            <w:r>
              <w:rPr>
                <w:b/>
                <w:sz w:val="18"/>
              </w:rPr>
              <w:t>The system shall…</w:t>
            </w:r>
          </w:p>
        </w:tc>
        <w:tc>
          <w:tcPr>
            <w:tcW w:type="dxa" w:w="2353"/>
            <w:shd w:val="clear" w:color="auto" w:fill="F1EAFE"/>
          </w:tcPr>
          <w:p>
            <w:pPr>
              <w:spacing w:after="40"/>
            </w:pPr>
            <w:r>
              <w:rPr>
                <w:b/>
                <w:sz w:val="18"/>
              </w:rPr>
            </w:r>
            <w:r>
              <w:rPr>
                <w:b/>
                <w:sz w:val="18"/>
              </w:rPr>
              <w:t>Verification method</w:t>
            </w:r>
          </w:p>
        </w:tc>
        <w:tc>
          <w:tcPr>
            <w:tcW w:type="dxa" w:w="2353"/>
            <w:shd w:val="clear" w:color="auto" w:fill="F1EAFE"/>
          </w:tcPr>
          <w:p>
            <w:pPr>
              <w:spacing w:after="40"/>
            </w:pPr>
            <w:r>
              <w:rPr>
                <w:b/>
                <w:sz w:val="18"/>
              </w:rPr>
            </w:r>
            <w:r>
              <w:rPr>
                <w:b/>
                <w:sz w:val="18"/>
              </w:rPr>
              <w:t>Priority</w:t>
            </w:r>
          </w:p>
        </w:tc>
      </w:tr>
      <w:tr>
        <w:tc>
          <w:tcPr>
            <w:tcW w:type="dxa" w:w="2353"/>
          </w:tcPr>
          <w:p>
            <w:pPr>
              <w:spacing w:after="40"/>
            </w:pPr>
            <w:r>
              <w:rPr>
                <w:sz w:val="18"/>
              </w:rPr>
            </w:r>
            <w:r>
              <w:rPr>
                <w:sz w:val="18"/>
              </w:rPr>
              <w:t>SR-001</w:t>
            </w:r>
          </w:p>
        </w:tc>
        <w:tc>
          <w:tcPr>
            <w:tcW w:type="dxa" w:w="2353"/>
          </w:tcPr>
          <w:p>
            <w:pPr>
              <w:spacing w:after="40"/>
            </w:pPr>
            <w:r>
              <w:rPr>
                <w:sz w:val="18"/>
              </w:rPr>
            </w:r>
          </w:p>
        </w:tc>
        <w:tc>
          <w:tcPr>
            <w:tcW w:type="dxa" w:w="2353"/>
          </w:tcPr>
          <w:p>
            <w:pPr>
              <w:spacing w:after="40"/>
            </w:pPr>
            <w:r>
              <w:rPr>
                <w:sz w:val="18"/>
              </w:rPr>
            </w:r>
            <w:r>
              <w:rPr>
                <w:sz w:val="18"/>
              </w:rPr>
              <w:t>test / demo / inspect / analyse</w:t>
            </w:r>
          </w:p>
        </w:tc>
        <w:tc>
          <w:tcPr>
            <w:tcW w:type="dxa" w:w="2353"/>
          </w:tcPr>
          <w:p>
            <w:pPr>
              <w:spacing w:after="40"/>
            </w:pPr>
            <w:r>
              <w:rPr>
                <w:sz w:val="18"/>
              </w:rPr>
            </w:r>
          </w:p>
        </w:tc>
      </w:tr>
    </w:tbl>
    <w:p>
      <w:pPr>
        <w:spacing w:after="40"/>
      </w:pPr>
    </w:p>
    <w:p>
      <w:r>
        <w:t>If the verification method for any row is "inspect the code" or "the developer confirms", it will not be verified. Rewrite it.</w:t>
      </w:r>
    </w:p>
    <w:p>
      <w:pPr>
        <w:pStyle w:val="Heading1"/>
      </w:pPr>
      <w:r>
        <w:t>4. External interfaces</w:t>
      </w:r>
    </w:p>
    <w:p>
      <w:r>
        <w:t>Complete one per integration.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Interface name / counterparty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Protocol and format</w:t>
            </w:r>
          </w:p>
        </w:tc>
        <w:tc>
          <w:tcPr>
            <w:tcW w:type="dxa" w:w="4706"/>
          </w:tcPr>
          <w:p>
            <w:pPr>
              <w:spacing w:after="40"/>
            </w:pPr>
            <w:r>
              <w:rPr>
                <w:sz w:val="18"/>
              </w:rPr>
            </w:r>
          </w:p>
        </w:tc>
      </w:tr>
      <w:tr>
        <w:tc>
          <w:tcPr>
            <w:tcW w:type="dxa" w:w="4706"/>
          </w:tcPr>
          <w:p>
            <w:pPr>
              <w:spacing w:after="40"/>
            </w:pPr>
            <w:r>
              <w:rPr>
                <w:sz w:val="18"/>
              </w:rPr>
            </w:r>
            <w:r>
              <w:rPr>
                <w:sz w:val="18"/>
              </w:rPr>
              <w:t>Authentication</w:t>
            </w:r>
          </w:p>
        </w:tc>
        <w:tc>
          <w:tcPr>
            <w:tcW w:type="dxa" w:w="4706"/>
          </w:tcPr>
          <w:p>
            <w:pPr>
              <w:spacing w:after="40"/>
            </w:pPr>
            <w:r>
              <w:rPr>
                <w:sz w:val="18"/>
              </w:rPr>
            </w:r>
          </w:p>
        </w:tc>
      </w:tr>
      <w:tr>
        <w:tc>
          <w:tcPr>
            <w:tcW w:type="dxa" w:w="4706"/>
          </w:tcPr>
          <w:p>
            <w:pPr>
              <w:spacing w:after="40"/>
            </w:pPr>
            <w:r>
              <w:rPr>
                <w:sz w:val="18"/>
              </w:rPr>
            </w:r>
            <w:r>
              <w:rPr>
                <w:sz w:val="18"/>
              </w:rPr>
              <w:t>Expected volume (average / peak)</w:t>
            </w:r>
          </w:p>
        </w:tc>
        <w:tc>
          <w:tcPr>
            <w:tcW w:type="dxa" w:w="4706"/>
          </w:tcPr>
          <w:p>
            <w:pPr>
              <w:spacing w:after="40"/>
            </w:pPr>
            <w:r>
              <w:rPr>
                <w:sz w:val="18"/>
              </w:rPr>
            </w:r>
          </w:p>
        </w:tc>
      </w:tr>
      <w:tr>
        <w:tc>
          <w:tcPr>
            <w:tcW w:type="dxa" w:w="4706"/>
          </w:tcPr>
          <w:p>
            <w:pPr>
              <w:spacing w:after="40"/>
            </w:pPr>
            <w:r>
              <w:rPr>
                <w:sz w:val="18"/>
              </w:rPr>
            </w:r>
            <w:r>
              <w:rPr>
                <w:sz w:val="18"/>
              </w:rPr>
              <w:t>Timeout</w:t>
            </w:r>
          </w:p>
        </w:tc>
        <w:tc>
          <w:tcPr>
            <w:tcW w:type="dxa" w:w="4706"/>
          </w:tcPr>
          <w:p>
            <w:pPr>
              <w:spacing w:after="40"/>
            </w:pPr>
            <w:r>
              <w:rPr>
                <w:sz w:val="18"/>
              </w:rPr>
            </w:r>
          </w:p>
        </w:tc>
      </w:tr>
      <w:tr>
        <w:tc>
          <w:tcPr>
            <w:tcW w:type="dxa" w:w="4706"/>
          </w:tcPr>
          <w:p>
            <w:pPr>
              <w:spacing w:after="40"/>
            </w:pPr>
            <w:r>
              <w:rPr>
                <w:sz w:val="18"/>
              </w:rPr>
            </w:r>
            <w:r>
              <w:rPr>
                <w:sz w:val="18"/>
              </w:rPr>
              <w:t>Retry policy</w:t>
            </w:r>
          </w:p>
        </w:tc>
        <w:tc>
          <w:tcPr>
            <w:tcW w:type="dxa" w:w="4706"/>
          </w:tcPr>
          <w:p>
            <w:pPr>
              <w:spacing w:after="40"/>
            </w:pPr>
            <w:r>
              <w:rPr>
                <w:sz w:val="18"/>
              </w:rPr>
            </w:r>
          </w:p>
        </w:tc>
      </w:tr>
      <w:tr>
        <w:tc>
          <w:tcPr>
            <w:tcW w:type="dxa" w:w="4706"/>
          </w:tcPr>
          <w:p>
            <w:pPr>
              <w:spacing w:after="40"/>
            </w:pPr>
            <w:r>
              <w:rPr>
                <w:sz w:val="18"/>
              </w:rPr>
            </w:r>
            <w:r>
              <w:rPr>
                <w:b/>
                <w:sz w:val="18"/>
              </w:rPr>
              <w:t>Idempotent, safe to repeat?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Error codes and meanings</w:t>
            </w:r>
          </w:p>
        </w:tc>
        <w:tc>
          <w:tcPr>
            <w:tcW w:type="dxa" w:w="4706"/>
          </w:tcPr>
          <w:p>
            <w:pPr>
              <w:spacing w:after="40"/>
            </w:pPr>
            <w:r>
              <w:rPr>
                <w:sz w:val="18"/>
              </w:rPr>
            </w:r>
          </w:p>
        </w:tc>
      </w:tr>
      <w:tr>
        <w:tc>
          <w:tcPr>
            <w:tcW w:type="dxa" w:w="4706"/>
          </w:tcPr>
          <w:p>
            <w:pPr>
              <w:spacing w:after="40"/>
            </w:pPr>
            <w:r>
              <w:rPr>
                <w:sz w:val="18"/>
              </w:rPr>
            </w:r>
            <w:r>
              <w:rPr>
                <w:b/>
                <w:sz w:val="18"/>
              </w:rPr>
              <w:t>Behaviour when the far end is down</w:t>
            </w:r>
          </w:p>
        </w:tc>
        <w:tc>
          <w:tcPr>
            <w:tcW w:type="dxa" w:w="4706"/>
          </w:tcPr>
          <w:p>
            <w:pPr>
              <w:spacing w:after="40"/>
            </w:pPr>
            <w:r>
              <w:rPr>
                <w:sz w:val="18"/>
              </w:rPr>
            </w:r>
          </w:p>
        </w:tc>
      </w:tr>
      <w:tr>
        <w:tc>
          <w:tcPr>
            <w:tcW w:type="dxa" w:w="4706"/>
          </w:tcPr>
          <w:p>
            <w:pPr>
              <w:spacing w:after="40"/>
            </w:pPr>
            <w:r>
              <w:rPr>
                <w:sz w:val="18"/>
              </w:rPr>
            </w:r>
            <w:r>
              <w:rPr>
                <w:sz w:val="18"/>
              </w:rPr>
              <w:t>Contact when it misbehaves</w:t>
            </w:r>
          </w:p>
        </w:tc>
        <w:tc>
          <w:tcPr>
            <w:tcW w:type="dxa" w:w="4706"/>
          </w:tcPr>
          <w:p>
            <w:pPr>
              <w:spacing w:after="40"/>
            </w:pPr>
            <w:r>
              <w:rPr>
                <w:sz w:val="18"/>
              </w:rPr>
            </w:r>
          </w:p>
        </w:tc>
      </w:tr>
    </w:tbl>
    <w:p>
      <w:pPr>
        <w:spacing w:after="40"/>
      </w:pPr>
    </w:p>
    <w:p>
      <w:pPr>
        <w:pStyle w:val="Heading1"/>
      </w:pPr>
      <w:r>
        <w:t>5. Data dictionary</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Field</w:t>
            </w:r>
          </w:p>
        </w:tc>
        <w:tc>
          <w:tcPr>
            <w:tcW w:type="dxa" w:w="1569"/>
            <w:shd w:val="clear" w:color="auto" w:fill="F1EAFE"/>
          </w:tcPr>
          <w:p>
            <w:pPr>
              <w:spacing w:after="40"/>
            </w:pPr>
            <w:r>
              <w:rPr>
                <w:b/>
                <w:sz w:val="18"/>
              </w:rPr>
            </w:r>
            <w:r>
              <w:rPr>
                <w:b/>
                <w:sz w:val="18"/>
              </w:rPr>
              <w:t>Type</w:t>
            </w:r>
          </w:p>
        </w:tc>
        <w:tc>
          <w:tcPr>
            <w:tcW w:type="dxa" w:w="1569"/>
            <w:shd w:val="clear" w:color="auto" w:fill="F1EAFE"/>
          </w:tcPr>
          <w:p>
            <w:pPr>
              <w:spacing w:after="40"/>
            </w:pPr>
            <w:r>
              <w:rPr>
                <w:b/>
                <w:sz w:val="18"/>
              </w:rPr>
            </w:r>
            <w:r>
              <w:rPr>
                <w:b/>
                <w:sz w:val="18"/>
              </w:rPr>
              <w:t>Range / format</w:t>
            </w:r>
          </w:p>
        </w:tc>
        <w:tc>
          <w:tcPr>
            <w:tcW w:type="dxa" w:w="1569"/>
            <w:shd w:val="clear" w:color="auto" w:fill="F1EAFE"/>
          </w:tcPr>
          <w:p>
            <w:pPr>
              <w:spacing w:after="40"/>
            </w:pPr>
            <w:r>
              <w:rPr>
                <w:b/>
                <w:sz w:val="18"/>
              </w:rPr>
            </w:r>
            <w:r>
              <w:rPr>
                <w:b/>
                <w:sz w:val="18"/>
              </w:rPr>
              <w:t>Mandatory</w:t>
            </w:r>
          </w:p>
        </w:tc>
        <w:tc>
          <w:tcPr>
            <w:tcW w:type="dxa" w:w="1569"/>
            <w:shd w:val="clear" w:color="auto" w:fill="F1EAFE"/>
          </w:tcPr>
          <w:p>
            <w:pPr>
              <w:spacing w:after="40"/>
            </w:pPr>
            <w:r>
              <w:rPr>
                <w:b/>
                <w:sz w:val="18"/>
              </w:rPr>
            </w:r>
            <w:r>
              <w:rPr>
                <w:b/>
                <w:sz w:val="18"/>
              </w:rPr>
              <w:t>Source of truth</w:t>
            </w:r>
          </w:p>
        </w:tc>
        <w:tc>
          <w:tcPr>
            <w:tcW w:type="dxa" w:w="1569"/>
            <w:shd w:val="clear" w:color="auto" w:fill="F1EAFE"/>
          </w:tcPr>
          <w:p>
            <w:pPr>
              <w:spacing w:after="40"/>
            </w:pPr>
            <w:r>
              <w:rPr>
                <w:b/>
                <w:sz w:val="18"/>
              </w:rPr>
            </w:r>
            <w:r>
              <w:rPr>
                <w:b/>
                <w:sz w:val="18"/>
              </w:rPr>
              <w:t>Retention</w:t>
            </w:r>
          </w:p>
        </w:tc>
      </w:tr>
    </w:tbl>
    <w:p>
      <w:pPr>
        <w:spacing w:after="40"/>
      </w:pPr>
    </w:p>
    <w:p>
      <w:pPr>
        <w:pStyle w:val="Heading1"/>
      </w:pPr>
      <w:r>
        <w:t>6. Non-functional requirements</w:t>
      </w:r>
    </w:p>
    <w:p>
      <w:r>
        <w:t>Each with a number and the condition it applies under. A figure nobody derived is worse than no figure, because it will be designed to: mark placeholders as such with a date to resolve.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Requirement</w:t>
            </w:r>
          </w:p>
        </w:tc>
        <w:tc>
          <w:tcPr>
            <w:tcW w:type="dxa" w:w="3137"/>
            <w:shd w:val="clear" w:color="auto" w:fill="F1EAFE"/>
          </w:tcPr>
          <w:p>
            <w:pPr>
              <w:spacing w:after="40"/>
            </w:pPr>
            <w:r>
              <w:rPr>
                <w:b/>
                <w:sz w:val="18"/>
              </w:rPr>
            </w:r>
            <w:r>
              <w:rPr>
                <w:b/>
                <w:sz w:val="18"/>
              </w:rPr>
              <w:t>Derived from</w:t>
            </w:r>
          </w:p>
        </w:tc>
      </w:tr>
      <w:tr>
        <w:tc>
          <w:tcPr>
            <w:tcW w:type="dxa" w:w="3137"/>
          </w:tcPr>
          <w:p>
            <w:pPr>
              <w:spacing w:after="40"/>
            </w:pPr>
            <w:r>
              <w:rPr>
                <w:sz w:val="18"/>
              </w:rPr>
            </w:r>
            <w:r>
              <w:rPr>
                <w:sz w:val="18"/>
              </w:rPr>
              <w:t>Performance</w:t>
            </w:r>
          </w:p>
        </w:tc>
        <w:tc>
          <w:tcPr>
            <w:tcW w:type="dxa" w:w="3137"/>
          </w:tcPr>
          <w:p>
            <w:pPr>
              <w:spacing w:after="40"/>
            </w:pPr>
            <w:r>
              <w:rPr>
                <w:sz w:val="18"/>
              </w:rPr>
            </w:r>
            <w:r>
              <w:rPr>
                <w:sz w:val="18"/>
              </w:rPr>
              <w:t>___ operation at p95 under ___ concurrent users</w:t>
            </w:r>
          </w:p>
        </w:tc>
        <w:tc>
          <w:tcPr>
            <w:tcW w:type="dxa" w:w="3137"/>
          </w:tcPr>
          <w:p>
            <w:pPr>
              <w:spacing w:after="40"/>
            </w:pPr>
            <w:r>
              <w:rPr>
                <w:sz w:val="18"/>
              </w:rPr>
            </w:r>
          </w:p>
        </w:tc>
      </w:tr>
      <w:tr>
        <w:tc>
          <w:tcPr>
            <w:tcW w:type="dxa" w:w="3137"/>
          </w:tcPr>
          <w:p>
            <w:pPr>
              <w:spacing w:after="40"/>
            </w:pPr>
            <w:r>
              <w:rPr>
                <w:sz w:val="18"/>
              </w:rPr>
            </w:r>
            <w:r>
              <w:rPr>
                <w:sz w:val="18"/>
              </w:rPr>
              <w:t>Volume</w:t>
            </w:r>
          </w:p>
        </w:tc>
        <w:tc>
          <w:tcPr>
            <w:tcW w:type="dxa" w:w="3137"/>
          </w:tcPr>
          <w:p>
            <w:pPr>
              <w:spacing w:after="40"/>
            </w:pPr>
            <w:r>
              <w:rPr>
                <w:sz w:val="18"/>
              </w:rPr>
            </w:r>
            <w:r>
              <w:rPr>
                <w:sz w:val="18"/>
              </w:rPr>
              <w:t>___ records today, ___ growth/year, peak ___</w:t>
            </w:r>
          </w:p>
        </w:tc>
        <w:tc>
          <w:tcPr>
            <w:tcW w:type="dxa" w:w="3137"/>
          </w:tcPr>
          <w:p>
            <w:pPr>
              <w:spacing w:after="40"/>
            </w:pPr>
            <w:r>
              <w:rPr>
                <w:sz w:val="18"/>
              </w:rPr>
            </w:r>
          </w:p>
        </w:tc>
      </w:tr>
      <w:tr>
        <w:tc>
          <w:tcPr>
            <w:tcW w:type="dxa" w:w="3137"/>
          </w:tcPr>
          <w:p>
            <w:pPr>
              <w:spacing w:after="40"/>
            </w:pPr>
            <w:r>
              <w:rPr>
                <w:sz w:val="18"/>
              </w:rPr>
            </w:r>
            <w:r>
              <w:rPr>
                <w:sz w:val="18"/>
              </w:rPr>
              <w:t>Availability</w:t>
            </w:r>
          </w:p>
        </w:tc>
        <w:tc>
          <w:tcPr>
            <w:tcW w:type="dxa" w:w="3137"/>
          </w:tcPr>
          <w:p>
            <w:pPr>
              <w:spacing w:after="40"/>
            </w:pPr>
            <w:r>
              <w:rPr>
                <w:sz w:val="18"/>
              </w:rPr>
            </w:r>
            <w:r>
              <w:rPr>
                <w:sz w:val="18"/>
              </w:rPr>
              <w:t>___%, measured as ___, excluding ___</w:t>
            </w:r>
          </w:p>
        </w:tc>
        <w:tc>
          <w:tcPr>
            <w:tcW w:type="dxa" w:w="3137"/>
          </w:tcPr>
          <w:p>
            <w:pPr>
              <w:spacing w:after="40"/>
            </w:pPr>
            <w:r>
              <w:rPr>
                <w:sz w:val="18"/>
              </w:rPr>
            </w:r>
          </w:p>
        </w:tc>
      </w:tr>
      <w:tr>
        <w:tc>
          <w:tcPr>
            <w:tcW w:type="dxa" w:w="3137"/>
          </w:tcPr>
          <w:p>
            <w:pPr>
              <w:spacing w:after="40"/>
            </w:pPr>
            <w:r>
              <w:rPr>
                <w:sz w:val="18"/>
              </w:rPr>
            </w:r>
            <w:r>
              <w:rPr>
                <w:b/>
                <w:sz w:val="18"/>
              </w:rPr>
              <w:t>RPO</w:t>
            </w:r>
            <w:r>
              <w:rPr>
                <w:sz w:val="18"/>
              </w:rPr>
              <w:t xml:space="preserve"> (data loss tolerable)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b/>
                <w:sz w:val="18"/>
              </w:rPr>
              <w:t>RTO</w:t>
            </w:r>
            <w:r>
              <w:rPr>
                <w:sz w:val="18"/>
              </w:rPr>
              <w:t xml:space="preserve"> (time to recover)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authn ___, authz model ___, encryption ___</w:t>
            </w:r>
          </w:p>
        </w:tc>
        <w:tc>
          <w:tcPr>
            <w:tcW w:type="dxa" w:w="3137"/>
          </w:tcPr>
          <w:p>
            <w:pPr>
              <w:spacing w:after="40"/>
            </w:pPr>
            <w:r>
              <w:rPr>
                <w:sz w:val="18"/>
              </w:rPr>
            </w:r>
          </w:p>
        </w:tc>
      </w:tr>
      <w:tr>
        <w:tc>
          <w:tcPr>
            <w:tcW w:type="dxa" w:w="3137"/>
          </w:tcPr>
          <w:p>
            <w:pPr>
              <w:spacing w:after="40"/>
            </w:pPr>
            <w:r>
              <w:rPr>
                <w:sz w:val="18"/>
              </w:rPr>
            </w:r>
            <w:r>
              <w:rPr>
                <w:sz w:val="18"/>
              </w:rPr>
              <w:t>Audit</w:t>
            </w:r>
          </w:p>
        </w:tc>
        <w:tc>
          <w:tcPr>
            <w:tcW w:type="dxa" w:w="3137"/>
          </w:tcPr>
          <w:p>
            <w:pPr>
              <w:spacing w:after="40"/>
            </w:pPr>
            <w:r>
              <w:rPr>
                <w:sz w:val="18"/>
              </w:rPr>
            </w:r>
            <w:r>
              <w:rPr>
                <w:sz w:val="18"/>
              </w:rPr>
              <w:t>what is logged, retained ___</w:t>
            </w:r>
          </w:p>
        </w:tc>
        <w:tc>
          <w:tcPr>
            <w:tcW w:type="dxa" w:w="3137"/>
          </w:tcPr>
          <w:p>
            <w:pPr>
              <w:spacing w:after="40"/>
            </w:pPr>
            <w:r>
              <w:rPr>
                <w:sz w:val="18"/>
              </w:rPr>
            </w:r>
          </w:p>
        </w:tc>
      </w:tr>
      <w:tr>
        <w:tc>
          <w:tcPr>
            <w:tcW w:type="dxa" w:w="3137"/>
          </w:tcPr>
          <w:p>
            <w:pPr>
              <w:spacing w:after="40"/>
            </w:pPr>
            <w:r>
              <w:rPr>
                <w:sz w:val="18"/>
              </w:rPr>
            </w:r>
            <w:r>
              <w:rPr>
                <w:sz w:val="18"/>
              </w:rPr>
              <w:t>Accessibility</w:t>
            </w:r>
          </w:p>
        </w:tc>
        <w:tc>
          <w:tcPr>
            <w:tcW w:type="dxa" w:w="3137"/>
          </w:tcPr>
          <w:p>
            <w:pPr>
              <w:spacing w:after="40"/>
            </w:pPr>
            <w:r>
              <w:rPr>
                <w:sz w:val="18"/>
              </w:rPr>
            </w:r>
            <w:r>
              <w:rPr>
                <w:sz w:val="18"/>
              </w:rPr>
              <w:t>standard and level (build to WCAG 2.2 AA unless stated otherwise)</w:t>
            </w:r>
          </w:p>
        </w:tc>
        <w:tc>
          <w:tcPr>
            <w:tcW w:type="dxa" w:w="3137"/>
          </w:tcPr>
          <w:p>
            <w:pPr>
              <w:spacing w:after="40"/>
            </w:pPr>
            <w:r>
              <w:rPr>
                <w:sz w:val="18"/>
              </w:rPr>
            </w:r>
          </w:p>
        </w:tc>
      </w:tr>
      <w:tr>
        <w:tc>
          <w:tcPr>
            <w:tcW w:type="dxa" w:w="3137"/>
          </w:tcPr>
          <w:p>
            <w:pPr>
              <w:spacing w:after="40"/>
            </w:pPr>
            <w:r>
              <w:rPr>
                <w:sz w:val="18"/>
              </w:rPr>
            </w:r>
            <w:r>
              <w:rPr>
                <w:sz w:val="18"/>
              </w:rPr>
              <w:t>Compliance / residency</w:t>
            </w:r>
          </w:p>
        </w:tc>
        <w:tc>
          <w:tcPr>
            <w:tcW w:type="dxa" w:w="3137"/>
          </w:tcPr>
          <w:p>
            <w:pPr>
              <w:spacing w:after="40"/>
            </w:pPr>
            <w:r>
              <w:rPr>
                <w:sz w:val="18"/>
              </w:rPr>
            </w:r>
          </w:p>
        </w:tc>
        <w:tc>
          <w:tcPr>
            <w:tcW w:type="dxa" w:w="3137"/>
          </w:tcPr>
          <w:p>
            <w:pPr>
              <w:spacing w:after="40"/>
            </w:pPr>
            <w:r>
              <w:rPr>
                <w:sz w:val="18"/>
              </w:rPr>
            </w:r>
          </w:p>
        </w:tc>
      </w:tr>
    </w:tbl>
    <w:p>
      <w:pPr>
        <w:spacing w:after="40"/>
      </w:pPr>
    </w:p>
    <w:p>
      <w:r>
        <w:t>RPO and RTO shape the architecture more than anything else on this page. Fill them before design starts, not after.</w:t>
      </w:r>
    </w:p>
    <w:p>
      <w:pPr>
        <w:pStyle w:val="Heading1"/>
      </w:pPr>
      <w:r>
        <w:t>7. Acceptance criteria</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Requirement ID</w:t>
            </w:r>
          </w:p>
        </w:tc>
        <w:tc>
          <w:tcPr>
            <w:tcW w:type="dxa" w:w="3137"/>
            <w:shd w:val="clear" w:color="auto" w:fill="F1EAFE"/>
          </w:tcPr>
          <w:p>
            <w:pPr>
              <w:spacing w:after="40"/>
            </w:pPr>
            <w:r>
              <w:rPr>
                <w:b/>
                <w:sz w:val="18"/>
              </w:rPr>
            </w:r>
            <w:r>
              <w:rPr>
                <w:b/>
                <w:sz w:val="18"/>
              </w:rPr>
              <w:t>How acceptance is demonstrated</w:t>
            </w:r>
          </w:p>
        </w:tc>
        <w:tc>
          <w:tcPr>
            <w:tcW w:type="dxa" w:w="3137"/>
            <w:shd w:val="clear" w:color="auto" w:fill="F1EAFE"/>
          </w:tcPr>
          <w:p>
            <w:pPr>
              <w:spacing w:after="40"/>
            </w:pPr>
            <w:r>
              <w:rPr>
                <w:b/>
                <w:sz w:val="18"/>
              </w:rPr>
            </w:r>
            <w:r>
              <w:rPr>
                <w:b/>
                <w:sz w:val="18"/>
              </w:rPr>
              <w:t>By whom</w:t>
            </w:r>
          </w:p>
        </w:tc>
      </w:tr>
    </w:tbl>
    <w:p>
      <w:pPr>
        <w:spacing w:after="40"/>
      </w:pPr>
    </w:p>
    <w:p>
      <w:pPr>
        <w:pStyle w:val="Heading1"/>
      </w:pPr>
      <w:r>
        <w:t>8. Glossary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Term</w:t>
            </w:r>
          </w:p>
        </w:tc>
        <w:tc>
          <w:tcPr>
            <w:tcW w:type="dxa" w:w="4706"/>
            <w:shd w:val="clear" w:color="auto" w:fill="F1EAFE"/>
          </w:tcPr>
          <w:p>
            <w:pPr>
              <w:spacing w:after="40"/>
            </w:pPr>
            <w:r>
              <w:rPr>
                <w:b/>
                <w:sz w:val="18"/>
              </w:rPr>
            </w:r>
            <w:r>
              <w:rPr>
                <w:b/>
                <w:sz w:val="18"/>
              </w:rPr>
              <w:t>Definition in THIS system</w:t>
            </w:r>
          </w:p>
        </w:tc>
      </w:tr>
    </w:tbl>
    <w:p>
      <w:pPr>
        <w:spacing w:after="40"/>
      </w:pPr>
    </w:p>
    <w:p>
      <w:r>
        <w:t>Most requirement disputes are vocabulary disputes. Two teams using "customer" differently will agree on every sentence and build incompatible systems.</w:t>
      </w:r>
    </w:p>
    <w:p>
      <w:pPr>
        <w:pStyle w:val="Heading1"/>
      </w:pPr>
      <w:r>
        <w:t>9. Open issues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Issue</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Needed by</w:t>
            </w:r>
          </w:p>
        </w:tc>
      </w:tr>
    </w:tbl>
    <w:p>
      <w:pPr>
        <w:spacing w:after="40"/>
      </w:pPr>
    </w:p>
    <w:p>
      <w:pPr>
        <w:pStyle w:val="Heading1"/>
      </w:pPr>
      <w:r>
        <w:t>10.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Engineering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Software Requirements Specification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Requirements Specification</dc:title>
  <dc:subject/>
  <dc:creator>BvLogic</dc:creator>
  <cp:keywords>BvLogic, Template, enterprise AI, Software Requirements Specification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