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REPORT</w:t>
      </w:r>
    </w:p>
    <w:p>
      <w:pPr>
        <w:spacing w:after="160"/>
      </w:pPr>
      <w:r>
        <w:rPr>
          <w:rFonts w:ascii="Georgia" w:hAnsi="Georgia"/>
          <w:b/>
          <w:color w:val="0F141A"/>
          <w:sz w:val="56"/>
        </w:rPr>
        <w:t>Codebase Health Review: Sample</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BVL-C04EC3</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Report</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rPr>
          <w:b/>
        </w:rPr>
        <w:t>This is an illustrative example.</w:t>
      </w:r>
      <w:r>
        <w:t xml:space="preserve"> The system and figures are invented to show the shape of a review that produces a short list of work. Copy the structure; measure your own repository.</w:t>
      </w:r>
    </w:p>
    <w:p>
      <w:r>
        <w:t xml:space="preserve">The review deliberately measures the </w:t>
      </w:r>
      <w:r>
        <w:rPr>
          <w:b/>
        </w:rPr>
        <w:t>codebase</w:t>
      </w:r>
      <w:r>
        <w:t>, not the people. Every figure comes from version control history and the defect record, both of which already exist.</w:t>
      </w:r>
    </w:p>
    <w:p>
      <w:r>
        <w:t>---</w:t>
      </w:r>
    </w:p>
    <w:p>
      <w:pPr>
        <w:pStyle w:val="Heading1"/>
      </w:pPr>
      <w:r>
        <w:t>Codebase health: payments platform</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Repository</w:t>
            </w:r>
          </w:p>
        </w:tc>
        <w:tc>
          <w:tcPr>
            <w:tcW w:type="dxa" w:w="4706"/>
            <w:shd w:val="clear" w:color="auto" w:fill="F1EAFE"/>
          </w:tcPr>
          <w:p>
            <w:pPr>
              <w:spacing w:after="40"/>
            </w:pPr>
            <w:r>
              <w:rPr>
                <w:b/>
                <w:sz w:val="18"/>
              </w:rPr>
            </w:r>
            <w:r>
              <w:rPr>
                <w:b/>
                <w:sz w:val="18"/>
              </w:rPr>
              <w:t>340,000 lines, 6 years old</w:t>
            </w:r>
          </w:p>
        </w:tc>
      </w:tr>
      <w:tr>
        <w:tc>
          <w:tcPr>
            <w:tcW w:type="dxa" w:w="4706"/>
          </w:tcPr>
          <w:p>
            <w:pPr>
              <w:spacing w:after="40"/>
            </w:pPr>
            <w:r>
              <w:rPr>
                <w:sz w:val="18"/>
              </w:rPr>
            </w:r>
            <w:r>
              <w:rPr>
                <w:sz w:val="18"/>
              </w:rPr>
              <w:t>Team</w:t>
            </w:r>
          </w:p>
        </w:tc>
        <w:tc>
          <w:tcPr>
            <w:tcW w:type="dxa" w:w="4706"/>
          </w:tcPr>
          <w:p>
            <w:pPr>
              <w:spacing w:after="40"/>
            </w:pPr>
            <w:r>
              <w:rPr>
                <w:sz w:val="18"/>
              </w:rPr>
            </w:r>
            <w:r>
              <w:rPr>
                <w:sz w:val="18"/>
              </w:rPr>
              <w:t>11 engineers</w:t>
            </w:r>
          </w:p>
        </w:tc>
      </w:tr>
      <w:tr>
        <w:tc>
          <w:tcPr>
            <w:tcW w:type="dxa" w:w="4706"/>
          </w:tcPr>
          <w:p>
            <w:pPr>
              <w:spacing w:after="40"/>
            </w:pPr>
            <w:r>
              <w:rPr>
                <w:sz w:val="18"/>
              </w:rPr>
            </w:r>
            <w:r>
              <w:rPr>
                <w:sz w:val="18"/>
              </w:rPr>
              <w:t>Period</w:t>
            </w:r>
          </w:p>
        </w:tc>
        <w:tc>
          <w:tcPr>
            <w:tcW w:type="dxa" w:w="4706"/>
          </w:tcPr>
          <w:p>
            <w:pPr>
              <w:spacing w:after="40"/>
            </w:pPr>
            <w:r>
              <w:rPr>
                <w:sz w:val="18"/>
              </w:rPr>
            </w:r>
            <w:r>
              <w:rPr>
                <w:sz w:val="18"/>
              </w:rPr>
              <w:t>12 months of history</w:t>
            </w:r>
          </w:p>
        </w:tc>
      </w:tr>
      <w:tr>
        <w:tc>
          <w:tcPr>
            <w:tcW w:type="dxa" w:w="4706"/>
          </w:tcPr>
          <w:p>
            <w:pPr>
              <w:spacing w:after="40"/>
            </w:pPr>
            <w:r>
              <w:rPr>
                <w:sz w:val="18"/>
              </w:rPr>
            </w:r>
            <w:r>
              <w:rPr>
                <w:sz w:val="18"/>
              </w:rPr>
              <w:t>Source</w:t>
            </w:r>
          </w:p>
        </w:tc>
        <w:tc>
          <w:tcPr>
            <w:tcW w:type="dxa" w:w="4706"/>
          </w:tcPr>
          <w:p>
            <w:pPr>
              <w:spacing w:after="40"/>
            </w:pPr>
            <w:r>
              <w:rPr>
                <w:sz w:val="18"/>
              </w:rPr>
            </w:r>
            <w:r>
              <w:rPr>
                <w:sz w:val="18"/>
              </w:rPr>
              <w:t>Version control, pull requests, incident and defect records</w:t>
            </w:r>
          </w:p>
        </w:tc>
      </w:tr>
    </w:tbl>
    <w:p>
      <w:pPr>
        <w:spacing w:after="40"/>
      </w:pPr>
    </w:p>
    <w:p>
      <w:pPr>
        <w:pStyle w:val="Heading1"/>
      </w:pPr>
      <w:r>
        <w:t>1. Where changes concentrate</w:t>
      </w:r>
    </w:p>
    <w:tbl>
      <w:tblPr>
        <w:tblStyle w:val="TableGrid"/>
        <w:tblW w:type="auto" w:w="0"/>
        <w:tblLook w:firstColumn="1" w:firstRow="1" w:lastColumn="0" w:lastRow="0" w:noHBand="0" w:noVBand="1" w:val="04A0"/>
      </w:tblPr>
      <w:tblGrid>
        <w:gridCol w:w="2353"/>
        <w:gridCol w:w="2353"/>
        <w:gridCol w:w="2353"/>
        <w:gridCol w:w="2353"/>
      </w:tblGrid>
      <w:tr>
        <w:trPr>
          <w:tblHeader w:val="true"/>
        </w:trPr>
        <w:tc>
          <w:tcPr>
            <w:tcW w:type="dxa" w:w="2353"/>
            <w:shd w:val="clear" w:color="auto" w:fill="F1EAFE"/>
          </w:tcPr>
          <w:p>
            <w:pPr>
              <w:spacing w:after="40"/>
            </w:pPr>
            <w:r>
              <w:rPr>
                <w:b/>
                <w:sz w:val="18"/>
              </w:rPr>
            </w:r>
            <w:r>
              <w:rPr>
                <w:b/>
                <w:sz w:val="18"/>
              </w:rPr>
              <w:t>Module</w:t>
            </w:r>
          </w:p>
        </w:tc>
        <w:tc>
          <w:tcPr>
            <w:tcW w:type="dxa" w:w="2353"/>
            <w:shd w:val="clear" w:color="auto" w:fill="F1EAFE"/>
          </w:tcPr>
          <w:p>
            <w:pPr>
              <w:spacing w:after="40"/>
            </w:pPr>
            <w:r>
              <w:rPr>
                <w:b/>
                <w:sz w:val="18"/>
              </w:rPr>
            </w:r>
            <w:r>
              <w:rPr>
                <w:b/>
                <w:sz w:val="18"/>
              </w:rPr>
              <w:t>Share of lines</w:t>
            </w:r>
          </w:p>
        </w:tc>
        <w:tc>
          <w:tcPr>
            <w:tcW w:type="dxa" w:w="2353"/>
            <w:shd w:val="clear" w:color="auto" w:fill="F1EAFE"/>
          </w:tcPr>
          <w:p>
            <w:pPr>
              <w:spacing w:after="40"/>
            </w:pPr>
            <w:r>
              <w:rPr>
                <w:b/>
                <w:sz w:val="18"/>
              </w:rPr>
            </w:r>
            <w:r>
              <w:rPr>
                <w:b/>
                <w:sz w:val="18"/>
              </w:rPr>
              <w:t>Share of changes</w:t>
            </w:r>
          </w:p>
        </w:tc>
        <w:tc>
          <w:tcPr>
            <w:tcW w:type="dxa" w:w="2353"/>
            <w:shd w:val="clear" w:color="auto" w:fill="F1EAFE"/>
          </w:tcPr>
          <w:p>
            <w:pPr>
              <w:spacing w:after="40"/>
            </w:pPr>
            <w:r>
              <w:rPr>
                <w:b/>
                <w:sz w:val="18"/>
              </w:rPr>
            </w:r>
            <w:r>
              <w:rPr>
                <w:b/>
                <w:sz w:val="18"/>
              </w:rPr>
              <w:t>Share of defects</w:t>
            </w:r>
          </w:p>
        </w:tc>
      </w:tr>
      <w:tr>
        <w:tc>
          <w:tcPr>
            <w:tcW w:type="dxa" w:w="2353"/>
          </w:tcPr>
          <w:p>
            <w:pPr>
              <w:spacing w:after="40"/>
            </w:pPr>
            <w:r>
              <w:rPr>
                <w:sz w:val="18"/>
              </w:rPr>
            </w:r>
            <w:r>
              <w:rPr>
                <w:sz w:val="18"/>
              </w:rPr>
              <w:t>Settlement</w:t>
            </w:r>
          </w:p>
        </w:tc>
        <w:tc>
          <w:tcPr>
            <w:tcW w:type="dxa" w:w="2353"/>
          </w:tcPr>
          <w:p>
            <w:pPr>
              <w:spacing w:after="40"/>
            </w:pPr>
            <w:r>
              <w:rPr>
                <w:sz w:val="18"/>
              </w:rPr>
            </w:r>
            <w:r>
              <w:rPr>
                <w:sz w:val="18"/>
              </w:rPr>
              <w:t>8%</w:t>
            </w:r>
          </w:p>
        </w:tc>
        <w:tc>
          <w:tcPr>
            <w:tcW w:type="dxa" w:w="2353"/>
          </w:tcPr>
          <w:p>
            <w:pPr>
              <w:spacing w:after="40"/>
            </w:pPr>
            <w:r>
              <w:rPr>
                <w:sz w:val="18"/>
              </w:rPr>
            </w:r>
            <w:r>
              <w:rPr>
                <w:b/>
                <w:sz w:val="18"/>
              </w:rPr>
              <w:t>31%</w:t>
            </w:r>
          </w:p>
        </w:tc>
        <w:tc>
          <w:tcPr>
            <w:tcW w:type="dxa" w:w="2353"/>
          </w:tcPr>
          <w:p>
            <w:pPr>
              <w:spacing w:after="40"/>
            </w:pPr>
            <w:r>
              <w:rPr>
                <w:sz w:val="18"/>
              </w:rPr>
            </w:r>
            <w:r>
              <w:rPr>
                <w:b/>
                <w:sz w:val="18"/>
              </w:rPr>
              <w:t>44%</w:t>
            </w:r>
          </w:p>
        </w:tc>
      </w:tr>
      <w:tr>
        <w:tc>
          <w:tcPr>
            <w:tcW w:type="dxa" w:w="2353"/>
          </w:tcPr>
          <w:p>
            <w:pPr>
              <w:spacing w:after="40"/>
            </w:pPr>
            <w:r>
              <w:rPr>
                <w:sz w:val="18"/>
              </w:rPr>
            </w:r>
            <w:r>
              <w:rPr>
                <w:sz w:val="18"/>
              </w:rPr>
              <w:t>Payment capture</w:t>
            </w:r>
          </w:p>
        </w:tc>
        <w:tc>
          <w:tcPr>
            <w:tcW w:type="dxa" w:w="2353"/>
          </w:tcPr>
          <w:p>
            <w:pPr>
              <w:spacing w:after="40"/>
            </w:pPr>
            <w:r>
              <w:rPr>
                <w:sz w:val="18"/>
              </w:rPr>
            </w:r>
            <w:r>
              <w:rPr>
                <w:sz w:val="18"/>
              </w:rPr>
              <w:t>14%</w:t>
            </w:r>
          </w:p>
        </w:tc>
        <w:tc>
          <w:tcPr>
            <w:tcW w:type="dxa" w:w="2353"/>
          </w:tcPr>
          <w:p>
            <w:pPr>
              <w:spacing w:after="40"/>
            </w:pPr>
            <w:r>
              <w:rPr>
                <w:sz w:val="18"/>
              </w:rPr>
            </w:r>
            <w:r>
              <w:rPr>
                <w:sz w:val="18"/>
              </w:rPr>
              <w:t>22%</w:t>
            </w:r>
          </w:p>
        </w:tc>
        <w:tc>
          <w:tcPr>
            <w:tcW w:type="dxa" w:w="2353"/>
          </w:tcPr>
          <w:p>
            <w:pPr>
              <w:spacing w:after="40"/>
            </w:pPr>
            <w:r>
              <w:rPr>
                <w:sz w:val="18"/>
              </w:rPr>
            </w:r>
            <w:r>
              <w:rPr>
                <w:sz w:val="18"/>
              </w:rPr>
              <w:t>19%</w:t>
            </w:r>
          </w:p>
        </w:tc>
      </w:tr>
      <w:tr>
        <w:tc>
          <w:tcPr>
            <w:tcW w:type="dxa" w:w="2353"/>
          </w:tcPr>
          <w:p>
            <w:pPr>
              <w:spacing w:after="40"/>
            </w:pPr>
            <w:r>
              <w:rPr>
                <w:sz w:val="18"/>
              </w:rPr>
            </w:r>
            <w:r>
              <w:rPr>
                <w:sz w:val="18"/>
              </w:rPr>
              <w:t>Reporting</w:t>
            </w:r>
          </w:p>
        </w:tc>
        <w:tc>
          <w:tcPr>
            <w:tcW w:type="dxa" w:w="2353"/>
          </w:tcPr>
          <w:p>
            <w:pPr>
              <w:spacing w:after="40"/>
            </w:pPr>
            <w:r>
              <w:rPr>
                <w:sz w:val="18"/>
              </w:rPr>
            </w:r>
            <w:r>
              <w:rPr>
                <w:sz w:val="18"/>
              </w:rPr>
              <w:t>21%</w:t>
            </w:r>
          </w:p>
        </w:tc>
        <w:tc>
          <w:tcPr>
            <w:tcW w:type="dxa" w:w="2353"/>
          </w:tcPr>
          <w:p>
            <w:pPr>
              <w:spacing w:after="40"/>
            </w:pPr>
            <w:r>
              <w:rPr>
                <w:sz w:val="18"/>
              </w:rPr>
            </w:r>
            <w:r>
              <w:rPr>
                <w:sz w:val="18"/>
              </w:rPr>
              <w:t>9%</w:t>
            </w:r>
          </w:p>
        </w:tc>
        <w:tc>
          <w:tcPr>
            <w:tcW w:type="dxa" w:w="2353"/>
          </w:tcPr>
          <w:p>
            <w:pPr>
              <w:spacing w:after="40"/>
            </w:pPr>
            <w:r>
              <w:rPr>
                <w:sz w:val="18"/>
              </w:rPr>
            </w:r>
            <w:r>
              <w:rPr>
                <w:sz w:val="18"/>
              </w:rPr>
              <w:t>6%</w:t>
            </w:r>
          </w:p>
        </w:tc>
      </w:tr>
      <w:tr>
        <w:tc>
          <w:tcPr>
            <w:tcW w:type="dxa" w:w="2353"/>
          </w:tcPr>
          <w:p>
            <w:pPr>
              <w:spacing w:after="40"/>
            </w:pPr>
            <w:r>
              <w:rPr>
                <w:sz w:val="18"/>
              </w:rPr>
            </w:r>
            <w:r>
              <w:rPr>
                <w:sz w:val="18"/>
              </w:rPr>
              <w:t>Customer records</w:t>
            </w:r>
          </w:p>
        </w:tc>
        <w:tc>
          <w:tcPr>
            <w:tcW w:type="dxa" w:w="2353"/>
          </w:tcPr>
          <w:p>
            <w:pPr>
              <w:spacing w:after="40"/>
            </w:pPr>
            <w:r>
              <w:rPr>
                <w:sz w:val="18"/>
              </w:rPr>
            </w:r>
            <w:r>
              <w:rPr>
                <w:sz w:val="18"/>
              </w:rPr>
              <w:t>17%</w:t>
            </w:r>
          </w:p>
        </w:tc>
        <w:tc>
          <w:tcPr>
            <w:tcW w:type="dxa" w:w="2353"/>
          </w:tcPr>
          <w:p>
            <w:pPr>
              <w:spacing w:after="40"/>
            </w:pPr>
            <w:r>
              <w:rPr>
                <w:sz w:val="18"/>
              </w:rPr>
            </w:r>
            <w:r>
              <w:rPr>
                <w:sz w:val="18"/>
              </w:rPr>
              <w:t>11%</w:t>
            </w:r>
          </w:p>
        </w:tc>
        <w:tc>
          <w:tcPr>
            <w:tcW w:type="dxa" w:w="2353"/>
          </w:tcPr>
          <w:p>
            <w:pPr>
              <w:spacing w:after="40"/>
            </w:pPr>
            <w:r>
              <w:rPr>
                <w:sz w:val="18"/>
              </w:rPr>
            </w:r>
            <w:r>
              <w:rPr>
                <w:sz w:val="18"/>
              </w:rPr>
              <w:t>8%</w:t>
            </w:r>
          </w:p>
        </w:tc>
      </w:tr>
      <w:tr>
        <w:tc>
          <w:tcPr>
            <w:tcW w:type="dxa" w:w="2353"/>
          </w:tcPr>
          <w:p>
            <w:pPr>
              <w:spacing w:after="40"/>
            </w:pPr>
            <w:r>
              <w:rPr>
                <w:sz w:val="18"/>
              </w:rPr>
            </w:r>
            <w:r>
              <w:rPr>
                <w:sz w:val="18"/>
              </w:rPr>
              <w:t>Integrations</w:t>
            </w:r>
          </w:p>
        </w:tc>
        <w:tc>
          <w:tcPr>
            <w:tcW w:type="dxa" w:w="2353"/>
          </w:tcPr>
          <w:p>
            <w:pPr>
              <w:spacing w:after="40"/>
            </w:pPr>
            <w:r>
              <w:rPr>
                <w:sz w:val="18"/>
              </w:rPr>
            </w:r>
            <w:r>
              <w:rPr>
                <w:sz w:val="18"/>
              </w:rPr>
              <w:t>22%</w:t>
            </w:r>
          </w:p>
        </w:tc>
        <w:tc>
          <w:tcPr>
            <w:tcW w:type="dxa" w:w="2353"/>
          </w:tcPr>
          <w:p>
            <w:pPr>
              <w:spacing w:after="40"/>
            </w:pPr>
            <w:r>
              <w:rPr>
                <w:sz w:val="18"/>
              </w:rPr>
            </w:r>
            <w:r>
              <w:rPr>
                <w:sz w:val="18"/>
              </w:rPr>
              <w:t>19%</w:t>
            </w:r>
          </w:p>
        </w:tc>
        <w:tc>
          <w:tcPr>
            <w:tcW w:type="dxa" w:w="2353"/>
          </w:tcPr>
          <w:p>
            <w:pPr>
              <w:spacing w:after="40"/>
            </w:pPr>
            <w:r>
              <w:rPr>
                <w:sz w:val="18"/>
              </w:rPr>
            </w:r>
            <w:r>
              <w:rPr>
                <w:sz w:val="18"/>
              </w:rPr>
              <w:t>17%</w:t>
            </w:r>
          </w:p>
        </w:tc>
      </w:tr>
      <w:tr>
        <w:tc>
          <w:tcPr>
            <w:tcW w:type="dxa" w:w="2353"/>
          </w:tcPr>
          <w:p>
            <w:pPr>
              <w:spacing w:after="40"/>
            </w:pPr>
            <w:r>
              <w:rPr>
                <w:sz w:val="18"/>
              </w:rPr>
            </w:r>
            <w:r>
              <w:rPr>
                <w:sz w:val="18"/>
              </w:rPr>
              <w:t>Everything else</w:t>
            </w:r>
          </w:p>
        </w:tc>
        <w:tc>
          <w:tcPr>
            <w:tcW w:type="dxa" w:w="2353"/>
          </w:tcPr>
          <w:p>
            <w:pPr>
              <w:spacing w:after="40"/>
            </w:pPr>
            <w:r>
              <w:rPr>
                <w:sz w:val="18"/>
              </w:rPr>
            </w:r>
            <w:r>
              <w:rPr>
                <w:sz w:val="18"/>
              </w:rPr>
              <w:t>18%</w:t>
            </w:r>
          </w:p>
        </w:tc>
        <w:tc>
          <w:tcPr>
            <w:tcW w:type="dxa" w:w="2353"/>
          </w:tcPr>
          <w:p>
            <w:pPr>
              <w:spacing w:after="40"/>
            </w:pPr>
            <w:r>
              <w:rPr>
                <w:sz w:val="18"/>
              </w:rPr>
            </w:r>
            <w:r>
              <w:rPr>
                <w:sz w:val="18"/>
              </w:rPr>
              <w:t>8%</w:t>
            </w:r>
          </w:p>
        </w:tc>
        <w:tc>
          <w:tcPr>
            <w:tcW w:type="dxa" w:w="2353"/>
          </w:tcPr>
          <w:p>
            <w:pPr>
              <w:spacing w:after="40"/>
            </w:pPr>
            <w:r>
              <w:rPr>
                <w:sz w:val="18"/>
              </w:rPr>
            </w:r>
            <w:r>
              <w:rPr>
                <w:sz w:val="18"/>
              </w:rPr>
              <w:t>6%</w:t>
            </w:r>
          </w:p>
        </w:tc>
      </w:tr>
    </w:tbl>
    <w:p>
      <w:pPr>
        <w:spacing w:after="40"/>
      </w:pPr>
    </w:p>
    <w:p>
      <w:r>
        <w:rPr>
          <w:b/>
        </w:rPr>
        <w:t>Settlement is 8% of the code, a third of the changes and nearly half the defects.</w:t>
      </w:r>
      <w:r>
        <w:t xml:space="preserve"> This is the most useful table in the review and it takes an hour to produce from history.</w:t>
      </w:r>
    </w:p>
    <w:p>
      <w:r>
        <w:t>Reporting is the mirror image: a fifth of the codebase, almost never touched. It is frequently proposed for a rewrite because it is old and unfashionable, and the history says it costs nothing.</w:t>
      </w:r>
    </w:p>
    <w:p>
      <w:pPr>
        <w:pStyle w:val="Heading1"/>
      </w:pPr>
      <w:r>
        <w:t>2. Inside settlement</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Files changed in over 60% of settlement changes</w:t>
            </w:r>
          </w:p>
        </w:tc>
        <w:tc>
          <w:tcPr>
            <w:tcW w:type="dxa" w:w="4706"/>
            <w:shd w:val="clear" w:color="auto" w:fill="F1EAFE"/>
          </w:tcPr>
          <w:p>
            <w:pPr>
              <w:spacing w:after="40"/>
            </w:pPr>
            <w:r>
              <w:rPr>
                <w:b/>
                <w:sz w:val="18"/>
              </w:rPr>
            </w:r>
            <w:r>
              <w:rPr>
                <w:b/>
                <w:sz w:val="18"/>
              </w:rPr>
              <w:t>3</w:t>
            </w:r>
          </w:p>
        </w:tc>
      </w:tr>
      <w:tr>
        <w:tc>
          <w:tcPr>
            <w:tcW w:type="dxa" w:w="4706"/>
          </w:tcPr>
          <w:p>
            <w:pPr>
              <w:spacing w:after="40"/>
            </w:pPr>
            <w:r>
              <w:rPr>
                <w:sz w:val="18"/>
              </w:rPr>
            </w:r>
            <w:r>
              <w:rPr>
                <w:sz w:val="18"/>
              </w:rPr>
              <w:t>Largest file</w:t>
            </w:r>
          </w:p>
        </w:tc>
        <w:tc>
          <w:tcPr>
            <w:tcW w:type="dxa" w:w="4706"/>
          </w:tcPr>
          <w:p>
            <w:pPr>
              <w:spacing w:after="40"/>
            </w:pPr>
            <w:r>
              <w:rPr>
                <w:sz w:val="18"/>
              </w:rPr>
            </w:r>
            <w:r>
              <w:rPr>
                <w:sz w:val="18"/>
              </w:rPr>
              <w:t>4,100 lines</w:t>
            </w:r>
          </w:p>
        </w:tc>
      </w:tr>
      <w:tr>
        <w:tc>
          <w:tcPr>
            <w:tcW w:type="dxa" w:w="4706"/>
          </w:tcPr>
          <w:p>
            <w:pPr>
              <w:spacing w:after="40"/>
            </w:pPr>
            <w:r>
              <w:rPr>
                <w:sz w:val="18"/>
              </w:rPr>
            </w:r>
            <w:r>
              <w:rPr>
                <w:sz w:val="18"/>
              </w:rPr>
              <w:t>Distinct authors in 12 months</w:t>
            </w:r>
          </w:p>
        </w:tc>
        <w:tc>
          <w:tcPr>
            <w:tcW w:type="dxa" w:w="4706"/>
          </w:tcPr>
          <w:p>
            <w:pPr>
              <w:spacing w:after="40"/>
            </w:pPr>
            <w:r>
              <w:rPr>
                <w:sz w:val="18"/>
              </w:rPr>
            </w:r>
            <w:r>
              <w:rPr>
                <w:sz w:val="18"/>
              </w:rPr>
              <w:t>9</w:t>
            </w:r>
          </w:p>
        </w:tc>
      </w:tr>
      <w:tr>
        <w:tc>
          <w:tcPr>
            <w:tcW w:type="dxa" w:w="4706"/>
          </w:tcPr>
          <w:p>
            <w:pPr>
              <w:spacing w:after="40"/>
            </w:pPr>
            <w:r>
              <w:rPr>
                <w:sz w:val="18"/>
              </w:rPr>
            </w:r>
            <w:r>
              <w:rPr>
                <w:sz w:val="18"/>
              </w:rPr>
              <w:t>Median change size</w:t>
            </w:r>
          </w:p>
        </w:tc>
        <w:tc>
          <w:tcPr>
            <w:tcW w:type="dxa" w:w="4706"/>
          </w:tcPr>
          <w:p>
            <w:pPr>
              <w:spacing w:after="40"/>
            </w:pPr>
            <w:r>
              <w:rPr>
                <w:sz w:val="18"/>
              </w:rPr>
            </w:r>
            <w:r>
              <w:rPr>
                <w:sz w:val="18"/>
              </w:rPr>
              <w:t>210 lines</w:t>
            </w:r>
          </w:p>
        </w:tc>
      </w:tr>
      <w:tr>
        <w:tc>
          <w:tcPr>
            <w:tcW w:type="dxa" w:w="4706"/>
          </w:tcPr>
          <w:p>
            <w:pPr>
              <w:spacing w:after="40"/>
            </w:pPr>
            <w:r>
              <w:rPr>
                <w:sz w:val="18"/>
              </w:rPr>
            </w:r>
            <w:r>
              <w:rPr>
                <w:sz w:val="18"/>
              </w:rPr>
              <w:t>Median review time</w:t>
            </w:r>
          </w:p>
        </w:tc>
        <w:tc>
          <w:tcPr>
            <w:tcW w:type="dxa" w:w="4706"/>
          </w:tcPr>
          <w:p>
            <w:pPr>
              <w:spacing w:after="40"/>
            </w:pPr>
            <w:r>
              <w:rPr>
                <w:sz w:val="18"/>
              </w:rPr>
            </w:r>
            <w:r>
              <w:rPr>
                <w:sz w:val="18"/>
              </w:rPr>
              <w:t>4.5 hours</w:t>
            </w:r>
          </w:p>
        </w:tc>
      </w:tr>
      <w:tr>
        <w:tc>
          <w:tcPr>
            <w:tcW w:type="dxa" w:w="4706"/>
          </w:tcPr>
          <w:p>
            <w:pPr>
              <w:spacing w:after="40"/>
            </w:pPr>
            <w:r>
              <w:rPr>
                <w:sz w:val="18"/>
              </w:rPr>
            </w:r>
            <w:r>
              <w:rPr>
                <w:sz w:val="18"/>
              </w:rPr>
              <w:t>Changes reverted</w:t>
            </w:r>
          </w:p>
        </w:tc>
        <w:tc>
          <w:tcPr>
            <w:tcW w:type="dxa" w:w="4706"/>
          </w:tcPr>
          <w:p>
            <w:pPr>
              <w:spacing w:after="40"/>
            </w:pPr>
            <w:r>
              <w:rPr>
                <w:sz w:val="18"/>
              </w:rPr>
            </w:r>
            <w:r>
              <w:rPr>
                <w:sz w:val="18"/>
              </w:rPr>
              <w:t>11</w:t>
            </w:r>
          </w:p>
        </w:tc>
      </w:tr>
    </w:tbl>
    <w:p>
      <w:pPr>
        <w:spacing w:after="40"/>
      </w:pPr>
    </w:p>
    <w:p>
      <w:r>
        <w:t>Three files are touched by almost every change in the module. They are where the coupling is, and they are why the median change is 210 lines when the median elsewhere is 40, a small behavioural change requires edits in three places that must agree.</w:t>
      </w:r>
    </w:p>
    <w:p>
      <w:r>
        <w:t>The 11 reverts are all in these three files.</w:t>
      </w:r>
    </w:p>
    <w:p>
      <w:pPr>
        <w:pStyle w:val="Heading1"/>
      </w:pPr>
      <w:r>
        <w:t>3. Where defects originate</w:t>
      </w:r>
    </w:p>
    <w:p>
      <w:r>
        <w:t>Every defect that reached production, classified at its root cause rather than at the line that was changed to fix it.</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Origin</w:t>
            </w:r>
          </w:p>
        </w:tc>
        <w:tc>
          <w:tcPr>
            <w:tcW w:type="dxa" w:w="3137"/>
            <w:shd w:val="clear" w:color="auto" w:fill="F1EAFE"/>
          </w:tcPr>
          <w:p>
            <w:pPr>
              <w:spacing w:after="40"/>
            </w:pPr>
            <w:r>
              <w:rPr>
                <w:b/>
                <w:sz w:val="18"/>
              </w:rPr>
            </w:r>
            <w:r>
              <w:rPr>
                <w:b/>
                <w:sz w:val="18"/>
              </w:rPr>
              <w:t>Defects</w:t>
            </w:r>
          </w:p>
        </w:tc>
        <w:tc>
          <w:tcPr>
            <w:tcW w:type="dxa" w:w="3137"/>
            <w:shd w:val="clear" w:color="auto" w:fill="F1EAFE"/>
          </w:tcPr>
          <w:p>
            <w:pPr>
              <w:spacing w:after="40"/>
            </w:pPr>
            <w:r>
              <w:rPr>
                <w:b/>
                <w:sz w:val="18"/>
              </w:rPr>
            </w:r>
            <w:r>
              <w:rPr>
                <w:b/>
                <w:sz w:val="18"/>
              </w:rPr>
              <w:t>Share</w:t>
            </w:r>
          </w:p>
        </w:tc>
      </w:tr>
      <w:tr>
        <w:tc>
          <w:tcPr>
            <w:tcW w:type="dxa" w:w="3137"/>
          </w:tcPr>
          <w:p>
            <w:pPr>
              <w:spacing w:after="40"/>
            </w:pPr>
            <w:r>
              <w:rPr>
                <w:sz w:val="18"/>
              </w:rPr>
            </w:r>
            <w:r>
              <w:rPr>
                <w:b/>
                <w:sz w:val="18"/>
              </w:rPr>
              <w:t>Requirement ambiguous or incomplete</w:t>
            </w:r>
          </w:p>
        </w:tc>
        <w:tc>
          <w:tcPr>
            <w:tcW w:type="dxa" w:w="3137"/>
          </w:tcPr>
          <w:p>
            <w:pPr>
              <w:spacing w:after="40"/>
            </w:pPr>
            <w:r>
              <w:rPr>
                <w:sz w:val="18"/>
              </w:rPr>
            </w:r>
            <w:r>
              <w:rPr>
                <w:sz w:val="18"/>
              </w:rPr>
              <w:t>29</w:t>
            </w:r>
          </w:p>
        </w:tc>
        <w:tc>
          <w:tcPr>
            <w:tcW w:type="dxa" w:w="3137"/>
          </w:tcPr>
          <w:p>
            <w:pPr>
              <w:spacing w:after="40"/>
            </w:pPr>
            <w:r>
              <w:rPr>
                <w:sz w:val="18"/>
              </w:rPr>
            </w:r>
            <w:r>
              <w:rPr>
                <w:sz w:val="18"/>
              </w:rPr>
              <w:t>37%</w:t>
            </w:r>
          </w:p>
        </w:tc>
      </w:tr>
      <w:tr>
        <w:tc>
          <w:tcPr>
            <w:tcW w:type="dxa" w:w="3137"/>
          </w:tcPr>
          <w:p>
            <w:pPr>
              <w:spacing w:after="40"/>
            </w:pPr>
            <w:r>
              <w:rPr>
                <w:sz w:val="18"/>
              </w:rPr>
            </w:r>
            <w:r>
              <w:rPr>
                <w:sz w:val="18"/>
              </w:rPr>
              <w:t>Design did not account for a case</w:t>
            </w:r>
          </w:p>
        </w:tc>
        <w:tc>
          <w:tcPr>
            <w:tcW w:type="dxa" w:w="3137"/>
          </w:tcPr>
          <w:p>
            <w:pPr>
              <w:spacing w:after="40"/>
            </w:pPr>
            <w:r>
              <w:rPr>
                <w:sz w:val="18"/>
              </w:rPr>
            </w:r>
            <w:r>
              <w:rPr>
                <w:sz w:val="18"/>
              </w:rPr>
              <w:t>18</w:t>
            </w:r>
          </w:p>
        </w:tc>
        <w:tc>
          <w:tcPr>
            <w:tcW w:type="dxa" w:w="3137"/>
          </w:tcPr>
          <w:p>
            <w:pPr>
              <w:spacing w:after="40"/>
            </w:pPr>
            <w:r>
              <w:rPr>
                <w:sz w:val="18"/>
              </w:rPr>
            </w:r>
            <w:r>
              <w:rPr>
                <w:sz w:val="18"/>
              </w:rPr>
              <w:t>23%</w:t>
            </w:r>
          </w:p>
        </w:tc>
      </w:tr>
      <w:tr>
        <w:tc>
          <w:tcPr>
            <w:tcW w:type="dxa" w:w="3137"/>
          </w:tcPr>
          <w:p>
            <w:pPr>
              <w:spacing w:after="40"/>
            </w:pPr>
            <w:r>
              <w:rPr>
                <w:sz w:val="18"/>
              </w:rPr>
            </w:r>
            <w:r>
              <w:rPr>
                <w:sz w:val="18"/>
              </w:rPr>
              <w:t>Implementation error</w:t>
            </w:r>
          </w:p>
        </w:tc>
        <w:tc>
          <w:tcPr>
            <w:tcW w:type="dxa" w:w="3137"/>
          </w:tcPr>
          <w:p>
            <w:pPr>
              <w:spacing w:after="40"/>
            </w:pPr>
            <w:r>
              <w:rPr>
                <w:sz w:val="18"/>
              </w:rPr>
            </w:r>
            <w:r>
              <w:rPr>
                <w:sz w:val="18"/>
              </w:rPr>
              <w:t>14</w:t>
            </w:r>
          </w:p>
        </w:tc>
        <w:tc>
          <w:tcPr>
            <w:tcW w:type="dxa" w:w="3137"/>
          </w:tcPr>
          <w:p>
            <w:pPr>
              <w:spacing w:after="40"/>
            </w:pPr>
            <w:r>
              <w:rPr>
                <w:sz w:val="18"/>
              </w:rPr>
            </w:r>
            <w:r>
              <w:rPr>
                <w:sz w:val="18"/>
              </w:rPr>
              <w:t>18%</w:t>
            </w:r>
          </w:p>
        </w:tc>
      </w:tr>
      <w:tr>
        <w:tc>
          <w:tcPr>
            <w:tcW w:type="dxa" w:w="3137"/>
          </w:tcPr>
          <w:p>
            <w:pPr>
              <w:spacing w:after="40"/>
            </w:pPr>
            <w:r>
              <w:rPr>
                <w:sz w:val="18"/>
              </w:rPr>
            </w:r>
            <w:r>
              <w:rPr>
                <w:sz w:val="18"/>
              </w:rPr>
              <w:t>Interaction with another change</w:t>
            </w:r>
          </w:p>
        </w:tc>
        <w:tc>
          <w:tcPr>
            <w:tcW w:type="dxa" w:w="3137"/>
          </w:tcPr>
          <w:p>
            <w:pPr>
              <w:spacing w:after="40"/>
            </w:pPr>
            <w:r>
              <w:rPr>
                <w:sz w:val="18"/>
              </w:rPr>
            </w:r>
            <w:r>
              <w:rPr>
                <w:sz w:val="18"/>
              </w:rPr>
              <w:t>11</w:t>
            </w:r>
          </w:p>
        </w:tc>
        <w:tc>
          <w:tcPr>
            <w:tcW w:type="dxa" w:w="3137"/>
          </w:tcPr>
          <w:p>
            <w:pPr>
              <w:spacing w:after="40"/>
            </w:pPr>
            <w:r>
              <w:rPr>
                <w:sz w:val="18"/>
              </w:rPr>
            </w:r>
            <w:r>
              <w:rPr>
                <w:sz w:val="18"/>
              </w:rPr>
              <w:t>14%</w:t>
            </w:r>
          </w:p>
        </w:tc>
      </w:tr>
      <w:tr>
        <w:tc>
          <w:tcPr>
            <w:tcW w:type="dxa" w:w="3137"/>
          </w:tcPr>
          <w:p>
            <w:pPr>
              <w:spacing w:after="40"/>
            </w:pPr>
            <w:r>
              <w:rPr>
                <w:sz w:val="18"/>
              </w:rPr>
            </w:r>
            <w:r>
              <w:rPr>
                <w:sz w:val="18"/>
              </w:rPr>
              <w:t>External dependency changed behaviour</w:t>
            </w:r>
          </w:p>
        </w:tc>
        <w:tc>
          <w:tcPr>
            <w:tcW w:type="dxa" w:w="3137"/>
          </w:tcPr>
          <w:p>
            <w:pPr>
              <w:spacing w:after="40"/>
            </w:pPr>
            <w:r>
              <w:rPr>
                <w:sz w:val="18"/>
              </w:rPr>
            </w:r>
            <w:r>
              <w:rPr>
                <w:sz w:val="18"/>
              </w:rPr>
              <w:t>6</w:t>
            </w:r>
          </w:p>
        </w:tc>
        <w:tc>
          <w:tcPr>
            <w:tcW w:type="dxa" w:w="3137"/>
          </w:tcPr>
          <w:p>
            <w:pPr>
              <w:spacing w:after="40"/>
            </w:pPr>
            <w:r>
              <w:rPr>
                <w:sz w:val="18"/>
              </w:rPr>
            </w:r>
            <w:r>
              <w:rPr>
                <w:sz w:val="18"/>
              </w:rPr>
              <w:t>8%</w:t>
            </w:r>
          </w:p>
        </w:tc>
      </w:tr>
    </w:tbl>
    <w:p>
      <w:pPr>
        <w:spacing w:after="40"/>
      </w:pPr>
    </w:p>
    <w:p>
      <w:r>
        <w:rPr>
          <w:b/>
        </w:rPr>
        <w:t>Sixty per cent originate before any code is written.</w:t>
      </w:r>
      <w:r>
        <w:t xml:space="preserve"> The team's improvement effort in the period went into test coverage and static analysis, both of which act on the 18%.</w:t>
      </w:r>
    </w:p>
    <w:p>
      <w:r>
        <w:t>The 29 requirement defects share a shape: the requirement covered what should happen and not what should happen in the unusual case. Refund of a partially settled batch. Payment arriving twice. Currency changing between authorisation and capture. Each was discovered by production doing it.</w:t>
      </w:r>
    </w:p>
    <w:p>
      <w:pPr>
        <w:pStyle w:val="Heading1"/>
      </w:pPr>
      <w:r>
        <w:t>4. Review</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Median</w:t>
            </w:r>
          </w:p>
        </w:tc>
        <w:tc>
          <w:tcPr>
            <w:tcW w:type="dxa" w:w="3137"/>
            <w:shd w:val="clear" w:color="auto" w:fill="F1EAFE"/>
          </w:tcPr>
          <w:p>
            <w:pPr>
              <w:spacing w:after="40"/>
            </w:pPr>
            <w:r>
              <w:rPr>
                <w:b/>
                <w:sz w:val="18"/>
              </w:rPr>
            </w:r>
            <w:r>
              <w:rPr>
                <w:b/>
                <w:sz w:val="18"/>
              </w:rPr>
              <w:t>90th percentile</w:t>
            </w:r>
          </w:p>
        </w:tc>
      </w:tr>
      <w:tr>
        <w:tc>
          <w:tcPr>
            <w:tcW w:type="dxa" w:w="3137"/>
          </w:tcPr>
          <w:p>
            <w:pPr>
              <w:spacing w:after="40"/>
            </w:pPr>
            <w:r>
              <w:rPr>
                <w:sz w:val="18"/>
              </w:rPr>
            </w:r>
            <w:r>
              <w:rPr>
                <w:sz w:val="18"/>
              </w:rPr>
              <w:t>Change size</w:t>
            </w:r>
          </w:p>
        </w:tc>
        <w:tc>
          <w:tcPr>
            <w:tcW w:type="dxa" w:w="3137"/>
          </w:tcPr>
          <w:p>
            <w:pPr>
              <w:spacing w:after="40"/>
            </w:pPr>
            <w:r>
              <w:rPr>
                <w:sz w:val="18"/>
              </w:rPr>
            </w:r>
            <w:r>
              <w:rPr>
                <w:sz w:val="18"/>
              </w:rPr>
              <w:t>40 lines</w:t>
            </w:r>
          </w:p>
        </w:tc>
        <w:tc>
          <w:tcPr>
            <w:tcW w:type="dxa" w:w="3137"/>
          </w:tcPr>
          <w:p>
            <w:pPr>
              <w:spacing w:after="40"/>
            </w:pPr>
            <w:r>
              <w:rPr>
                <w:sz w:val="18"/>
              </w:rPr>
            </w:r>
            <w:r>
              <w:rPr>
                <w:sz w:val="18"/>
              </w:rPr>
              <w:t>480 lines</w:t>
            </w:r>
          </w:p>
        </w:tc>
      </w:tr>
      <w:tr>
        <w:tc>
          <w:tcPr>
            <w:tcW w:type="dxa" w:w="3137"/>
          </w:tcPr>
          <w:p>
            <w:pPr>
              <w:spacing w:after="40"/>
            </w:pPr>
            <w:r>
              <w:rPr>
                <w:sz w:val="18"/>
              </w:rPr>
            </w:r>
            <w:r>
              <w:rPr>
                <w:sz w:val="18"/>
              </w:rPr>
              <w:t>Time to first review</w:t>
            </w:r>
          </w:p>
        </w:tc>
        <w:tc>
          <w:tcPr>
            <w:tcW w:type="dxa" w:w="3137"/>
          </w:tcPr>
          <w:p>
            <w:pPr>
              <w:spacing w:after="40"/>
            </w:pPr>
            <w:r>
              <w:rPr>
                <w:sz w:val="18"/>
              </w:rPr>
            </w:r>
            <w:r>
              <w:rPr>
                <w:sz w:val="18"/>
              </w:rPr>
              <w:t>3.1 hours</w:t>
            </w:r>
          </w:p>
        </w:tc>
        <w:tc>
          <w:tcPr>
            <w:tcW w:type="dxa" w:w="3137"/>
          </w:tcPr>
          <w:p>
            <w:pPr>
              <w:spacing w:after="40"/>
            </w:pPr>
            <w:r>
              <w:rPr>
                <w:sz w:val="18"/>
              </w:rPr>
            </w:r>
            <w:r>
              <w:rPr>
                <w:sz w:val="18"/>
              </w:rPr>
              <w:t>22 hours</w:t>
            </w:r>
          </w:p>
        </w:tc>
      </w:tr>
      <w:tr>
        <w:tc>
          <w:tcPr>
            <w:tcW w:type="dxa" w:w="3137"/>
          </w:tcPr>
          <w:p>
            <w:pPr>
              <w:spacing w:after="40"/>
            </w:pPr>
            <w:r>
              <w:rPr>
                <w:sz w:val="18"/>
              </w:rPr>
            </w:r>
            <w:r>
              <w:rPr>
                <w:sz w:val="18"/>
              </w:rPr>
              <w:t>Time to merge</w:t>
            </w:r>
          </w:p>
        </w:tc>
        <w:tc>
          <w:tcPr>
            <w:tcW w:type="dxa" w:w="3137"/>
          </w:tcPr>
          <w:p>
            <w:pPr>
              <w:spacing w:after="40"/>
            </w:pPr>
            <w:r>
              <w:rPr>
                <w:sz w:val="18"/>
              </w:rPr>
            </w:r>
            <w:r>
              <w:rPr>
                <w:sz w:val="18"/>
              </w:rPr>
              <w:t>7 hours</w:t>
            </w:r>
          </w:p>
        </w:tc>
        <w:tc>
          <w:tcPr>
            <w:tcW w:type="dxa" w:w="3137"/>
          </w:tcPr>
          <w:p>
            <w:pPr>
              <w:spacing w:after="40"/>
            </w:pPr>
            <w:r>
              <w:rPr>
                <w:sz w:val="18"/>
              </w:rPr>
            </w:r>
            <w:r>
              <w:rPr>
                <w:sz w:val="18"/>
              </w:rPr>
              <w:t>3 days</w:t>
            </w:r>
          </w:p>
        </w:tc>
      </w:tr>
      <w:tr>
        <w:tc>
          <w:tcPr>
            <w:tcW w:type="dxa" w:w="3137"/>
          </w:tcPr>
          <w:p>
            <w:pPr>
              <w:spacing w:after="40"/>
            </w:pPr>
            <w:r>
              <w:rPr>
                <w:sz w:val="18"/>
              </w:rPr>
            </w:r>
            <w:r>
              <w:rPr>
                <w:sz w:val="18"/>
              </w:rPr>
              <w:t>Comments per review</w:t>
            </w:r>
          </w:p>
        </w:tc>
        <w:tc>
          <w:tcPr>
            <w:tcW w:type="dxa" w:w="3137"/>
          </w:tcPr>
          <w:p>
            <w:pPr>
              <w:spacing w:after="40"/>
            </w:pPr>
            <w:r>
              <w:rPr>
                <w:sz w:val="18"/>
              </w:rPr>
            </w:r>
            <w:r>
              <w:rPr>
                <w:sz w:val="18"/>
              </w:rPr>
              <w:t>2</w:t>
            </w:r>
          </w:p>
        </w:tc>
        <w:tc>
          <w:tcPr>
            <w:tcW w:type="dxa" w:w="3137"/>
          </w:tcPr>
          <w:p>
            <w:pPr>
              <w:spacing w:after="40"/>
            </w:pPr>
            <w:r>
              <w:rPr>
                <w:sz w:val="18"/>
              </w:rPr>
            </w:r>
            <w:r>
              <w:rPr>
                <w:sz w:val="18"/>
              </w:rPr>
              <w:t>9</w:t>
            </w:r>
          </w:p>
        </w:tc>
      </w:tr>
    </w:tbl>
    <w:p>
      <w:pPr>
        <w:spacing w:after="40"/>
      </w:pP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p>
        </w:tc>
        <w:tc>
          <w:tcPr>
            <w:tcW w:type="dxa" w:w="4706"/>
            <w:shd w:val="clear" w:color="auto" w:fill="F1EAFE"/>
          </w:tcPr>
          <w:p>
            <w:pPr>
              <w:spacing w:after="40"/>
            </w:pPr>
            <w:r>
              <w:rPr>
                <w:b/>
                <w:sz w:val="18"/>
              </w:rPr>
            </w:r>
            <w:r>
              <w:rPr>
                <w:b/>
                <w:sz w:val="18"/>
              </w:rPr>
              <w:t>Correlation with defects</w:t>
            </w:r>
          </w:p>
        </w:tc>
      </w:tr>
      <w:tr>
        <w:tc>
          <w:tcPr>
            <w:tcW w:type="dxa" w:w="4706"/>
          </w:tcPr>
          <w:p>
            <w:pPr>
              <w:spacing w:after="40"/>
            </w:pPr>
            <w:r>
              <w:rPr>
                <w:sz w:val="18"/>
              </w:rPr>
            </w:r>
            <w:r>
              <w:rPr>
                <w:sz w:val="18"/>
              </w:rPr>
              <w:t>Changes under 100 lines</w:t>
            </w:r>
          </w:p>
        </w:tc>
        <w:tc>
          <w:tcPr>
            <w:tcW w:type="dxa" w:w="4706"/>
          </w:tcPr>
          <w:p>
            <w:pPr>
              <w:spacing w:after="40"/>
            </w:pPr>
            <w:r>
              <w:rPr>
                <w:sz w:val="18"/>
              </w:rPr>
            </w:r>
            <w:r>
              <w:rPr>
                <w:sz w:val="18"/>
              </w:rPr>
              <w:t>1.0 (baseline)</w:t>
            </w:r>
          </w:p>
        </w:tc>
      </w:tr>
      <w:tr>
        <w:tc>
          <w:tcPr>
            <w:tcW w:type="dxa" w:w="4706"/>
          </w:tcPr>
          <w:p>
            <w:pPr>
              <w:spacing w:after="40"/>
            </w:pPr>
            <w:r>
              <w:rPr>
                <w:sz w:val="18"/>
              </w:rPr>
            </w:r>
            <w:r>
              <w:rPr>
                <w:sz w:val="18"/>
              </w:rPr>
              <w:t>Changes 100 to 400 lines</w:t>
            </w:r>
          </w:p>
        </w:tc>
        <w:tc>
          <w:tcPr>
            <w:tcW w:type="dxa" w:w="4706"/>
          </w:tcPr>
          <w:p>
            <w:pPr>
              <w:spacing w:after="40"/>
            </w:pPr>
            <w:r>
              <w:rPr>
                <w:sz w:val="18"/>
              </w:rPr>
            </w:r>
            <w:r>
              <w:rPr>
                <w:sz w:val="18"/>
              </w:rPr>
              <w:t>2.4×</w:t>
            </w:r>
          </w:p>
        </w:tc>
      </w:tr>
      <w:tr>
        <w:tc>
          <w:tcPr>
            <w:tcW w:type="dxa" w:w="4706"/>
          </w:tcPr>
          <w:p>
            <w:pPr>
              <w:spacing w:after="40"/>
            </w:pPr>
            <w:r>
              <w:rPr>
                <w:sz w:val="18"/>
              </w:rPr>
            </w:r>
            <w:r>
              <w:rPr>
                <w:b/>
                <w:sz w:val="18"/>
              </w:rPr>
              <w:t>Changes over 400 lines</w:t>
            </w:r>
          </w:p>
        </w:tc>
        <w:tc>
          <w:tcPr>
            <w:tcW w:type="dxa" w:w="4706"/>
          </w:tcPr>
          <w:p>
            <w:pPr>
              <w:spacing w:after="40"/>
            </w:pPr>
            <w:r>
              <w:rPr>
                <w:sz w:val="18"/>
              </w:rPr>
            </w:r>
            <w:r>
              <w:rPr>
                <w:b/>
                <w:sz w:val="18"/>
              </w:rPr>
              <w:t>5.9×</w:t>
            </w:r>
          </w:p>
        </w:tc>
      </w:tr>
    </w:tbl>
    <w:p>
      <w:pPr>
        <w:spacing w:after="40"/>
      </w:pPr>
    </w:p>
    <w:p>
      <w:r>
        <w:rPr>
          <w:b/>
        </w:rPr>
        <w:t>Large changes are reviewed less well and produce far more defects.</w:t>
      </w:r>
      <w:r>
        <w:t xml:space="preserve"> The mechanism is not subtle: reviewer comments per hundred lines fall sharply above about 200 lines, because attention does not scale with diff size.</w:t>
      </w:r>
    </w:p>
    <w:p>
      <w:r>
        <w:t>Twenty-two hours to first review at the 90th percentile has a second effect. An author waiting a day starts something else, and returning to a review comment a day later is a context switch that costs more than the comment saved.</w:t>
      </w:r>
    </w:p>
    <w:p>
      <w:pPr>
        <w:pStyle w:val="Heading1"/>
      </w:pPr>
      <w:r>
        <w:t>5. Technical debt actually being paid for</w:t>
      </w:r>
    </w:p>
    <w:p>
      <w:r>
        <w:t>Rather than listing everything imperfect, this section lists only debt with a measurable cost in the period.</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Item</w:t>
            </w:r>
          </w:p>
        </w:tc>
        <w:tc>
          <w:tcPr>
            <w:tcW w:type="dxa" w:w="4706"/>
            <w:shd w:val="clear" w:color="auto" w:fill="F1EAFE"/>
          </w:tcPr>
          <w:p>
            <w:pPr>
              <w:spacing w:after="40"/>
            </w:pPr>
            <w:r>
              <w:rPr>
                <w:b/>
                <w:sz w:val="18"/>
              </w:rPr>
            </w:r>
            <w:r>
              <w:rPr>
                <w:b/>
                <w:sz w:val="18"/>
              </w:rPr>
              <w:t>Measured cost</w:t>
            </w:r>
          </w:p>
        </w:tc>
      </w:tr>
      <w:tr>
        <w:tc>
          <w:tcPr>
            <w:tcW w:type="dxa" w:w="4706"/>
          </w:tcPr>
          <w:p>
            <w:pPr>
              <w:spacing w:after="40"/>
            </w:pPr>
            <w:r>
              <w:rPr>
                <w:sz w:val="18"/>
              </w:rPr>
            </w:r>
            <w:r>
              <w:rPr>
                <w:sz w:val="18"/>
              </w:rPr>
              <w:t>Three coupled settlement files</w:t>
            </w:r>
          </w:p>
        </w:tc>
        <w:tc>
          <w:tcPr>
            <w:tcW w:type="dxa" w:w="4706"/>
          </w:tcPr>
          <w:p>
            <w:pPr>
              <w:spacing w:after="40"/>
            </w:pPr>
            <w:r>
              <w:rPr>
                <w:sz w:val="18"/>
              </w:rPr>
            </w:r>
            <w:r>
              <w:rPr>
                <w:sz w:val="18"/>
              </w:rPr>
              <w:t>11 reverts, 210-line median change, 44% of defects</w:t>
            </w:r>
          </w:p>
        </w:tc>
      </w:tr>
      <w:tr>
        <w:tc>
          <w:tcPr>
            <w:tcW w:type="dxa" w:w="4706"/>
          </w:tcPr>
          <w:p>
            <w:pPr>
              <w:spacing w:after="40"/>
            </w:pPr>
            <w:r>
              <w:rPr>
                <w:sz w:val="18"/>
              </w:rPr>
            </w:r>
            <w:r>
              <w:rPr>
                <w:sz w:val="18"/>
              </w:rPr>
              <w:t>No integration test environment</w:t>
            </w:r>
          </w:p>
        </w:tc>
        <w:tc>
          <w:tcPr>
            <w:tcW w:type="dxa" w:w="4706"/>
          </w:tcPr>
          <w:p>
            <w:pPr>
              <w:spacing w:after="40"/>
            </w:pPr>
            <w:r>
              <w:rPr>
                <w:sz w:val="18"/>
              </w:rPr>
            </w:r>
            <w:r>
              <w:rPr>
                <w:sz w:val="18"/>
              </w:rPr>
              <w:t>4 days of the 11-day lead time, per change</w:t>
            </w:r>
          </w:p>
        </w:tc>
      </w:tr>
      <w:tr>
        <w:tc>
          <w:tcPr>
            <w:tcW w:type="dxa" w:w="4706"/>
          </w:tcPr>
          <w:p>
            <w:pPr>
              <w:spacing w:after="40"/>
            </w:pPr>
            <w:r>
              <w:rPr>
                <w:sz w:val="18"/>
              </w:rPr>
            </w:r>
            <w:r>
              <w:rPr>
                <w:sz w:val="18"/>
              </w:rPr>
              <w:t>Two payment gateway clients doing the same thing</w:t>
            </w:r>
          </w:p>
        </w:tc>
        <w:tc>
          <w:tcPr>
            <w:tcW w:type="dxa" w:w="4706"/>
          </w:tcPr>
          <w:p>
            <w:pPr>
              <w:spacing w:after="40"/>
            </w:pPr>
            <w:r>
              <w:rPr>
                <w:sz w:val="18"/>
              </w:rPr>
            </w:r>
            <w:r>
              <w:rPr>
                <w:sz w:val="18"/>
              </w:rPr>
              <w:t>Every change made twice; 3 defects from divergence</w:t>
            </w:r>
          </w:p>
        </w:tc>
      </w:tr>
      <w:tr>
        <w:tc>
          <w:tcPr>
            <w:tcW w:type="dxa" w:w="4706"/>
          </w:tcPr>
          <w:p>
            <w:pPr>
              <w:spacing w:after="40"/>
            </w:pPr>
            <w:r>
              <w:rPr>
                <w:sz w:val="18"/>
              </w:rPr>
            </w:r>
            <w:r>
              <w:rPr>
                <w:sz w:val="18"/>
              </w:rPr>
              <w:t>Manual reconciliation step</w:t>
            </w:r>
          </w:p>
        </w:tc>
        <w:tc>
          <w:tcPr>
            <w:tcW w:type="dxa" w:w="4706"/>
          </w:tcPr>
          <w:p>
            <w:pPr>
              <w:spacing w:after="40"/>
            </w:pPr>
            <w:r>
              <w:rPr>
                <w:sz w:val="18"/>
              </w:rPr>
            </w:r>
            <w:r>
              <w:rPr>
                <w:sz w:val="18"/>
              </w:rPr>
              <w:t>6 hours a week, every week</w:t>
            </w:r>
          </w:p>
        </w:tc>
      </w:tr>
      <w:tr>
        <w:tc>
          <w:tcPr>
            <w:tcW w:type="dxa" w:w="4706"/>
          </w:tcPr>
          <w:p>
            <w:pPr>
              <w:spacing w:after="40"/>
            </w:pPr>
            <w:r>
              <w:rPr>
                <w:sz w:val="18"/>
              </w:rPr>
            </w:r>
            <w:r>
              <w:rPr>
                <w:sz w:val="18"/>
              </w:rPr>
              <w:t>Old reporting module</w:t>
            </w:r>
          </w:p>
        </w:tc>
        <w:tc>
          <w:tcPr>
            <w:tcW w:type="dxa" w:w="4706"/>
          </w:tcPr>
          <w:p>
            <w:pPr>
              <w:spacing w:after="40"/>
            </w:pPr>
            <w:r>
              <w:rPr>
                <w:sz w:val="18"/>
              </w:rPr>
            </w:r>
            <w:r>
              <w:rPr>
                <w:b/>
                <w:sz w:val="18"/>
              </w:rPr>
              <w:t>None. Do not touch it.</w:t>
            </w:r>
          </w:p>
        </w:tc>
      </w:tr>
    </w:tbl>
    <w:p>
      <w:pPr>
        <w:spacing w:after="40"/>
      </w:pPr>
    </w:p>
    <w:p>
      <w:r>
        <w:t xml:space="preserve">The last row exists to be argued with. Reporting looks like the worst code in the repository and it has cost nothing in twelve months. </w:t>
      </w:r>
      <w:r>
        <w:rPr>
          <w:b/>
        </w:rPr>
        <w:t>Debt is only debt if it is charging interest.</w:t>
      </w:r>
    </w:p>
    <w:p>
      <w:pPr>
        <w:pStyle w:val="Heading1"/>
      </w:pPr>
      <w:r>
        <w:t>6. Recommendations</w:t>
      </w:r>
    </w:p>
    <w:p>
      <w:pPr>
        <w:pStyle w:val="ListNumber"/>
      </w:pPr>
      <w:r>
        <w:rPr>
          <w:b/>
        </w:rPr>
        <w:t>Decouple the three settlement files.</w:t>
      </w:r>
      <w:r>
        <w:t xml:space="preserve"> They carry 44% of defects and every revert. Not a</w:t>
      </w:r>
    </w:p>
    <w:p>
      <w:r>
        <w:t>rewrite of settlement: a targeted separation of the three, with the coupling as the measure of success.</w:t>
      </w:r>
    </w:p>
    <w:p>
      <w:pPr>
        <w:pStyle w:val="ListNumber"/>
      </w:pPr>
      <w:r>
        <w:rPr>
          <w:b/>
        </w:rPr>
        <w:t>Require a written approach for changes over two days.</w:t>
      </w:r>
      <w:r>
        <w:t xml:space="preserve"> Five sentences, read by one</w:t>
      </w:r>
    </w:p>
    <w:p>
      <w:r>
        <w:t>person. Aimed at the 60% of defects that originate before code exists, which nothing currently addresses.</w:t>
      </w:r>
    </w:p>
    <w:p>
      <w:pPr>
        <w:pStyle w:val="ListNumber"/>
      </w:pPr>
      <w:r>
        <w:rPr>
          <w:b/>
        </w:rPr>
        <w:t>Set a review response expectation of four hours.</w:t>
      </w:r>
      <w:r>
        <w:t xml:space="preserve"> The 22-hour tail is the largest</w:t>
      </w:r>
    </w:p>
    <w:p>
      <w:r>
        <w:t>avoidable delay in the pipeline and it costs context, not just time.</w:t>
      </w:r>
    </w:p>
    <w:p>
      <w:pPr>
        <w:pStyle w:val="ListNumber"/>
      </w:pPr>
      <w:r>
        <w:rPr>
          <w:b/>
        </w:rPr>
        <w:t>Split changes over 400 lines</w:t>
      </w:r>
      <w:r>
        <w:t>, or accept them knowingly. Six times the defect rate is not</w:t>
      </w:r>
    </w:p>
    <w:p>
      <w:r>
        <w:t>a style preference.</w:t>
      </w:r>
    </w:p>
    <w:p>
      <w:pPr>
        <w:pStyle w:val="ListNumber"/>
      </w:pPr>
      <w:r>
        <w:rPr>
          <w:b/>
        </w:rPr>
        <w:t>Consolidate the two gateway clients.</w:t>
      </w:r>
      <w:r>
        <w:t xml:space="preserve"> Every change is made twice and they have diverged</w:t>
      </w:r>
    </w:p>
    <w:p>
      <w:r>
        <w:t>three times.</w:t>
      </w:r>
    </w:p>
    <w:p>
      <w:pPr>
        <w:pStyle w:val="ListNumber"/>
      </w:pPr>
      <w:r>
        <w:rPr>
          <w:b/>
        </w:rPr>
        <w:t>Leave the reporting module alone.</w:t>
      </w:r>
      <w:r>
        <w:t xml:space="preserve"> It is not causing anything.</w:t>
      </w:r>
    </w:p>
    <w:p>
      <w:r>
        <w:t>---</w:t>
      </w:r>
    </w:p>
    <w:p>
      <w:pPr>
        <w:pStyle w:val="Heading1"/>
      </w:pPr>
      <w:r>
        <w:t>Notes on using this format</w:t>
      </w:r>
    </w:p>
    <w:p>
      <w:r>
        <w:rPr>
          <w:b/>
        </w:rPr>
        <w:t>Measure the code, not the people.</w:t>
      </w:r>
      <w:r>
        <w:t xml:space="preserve"> Every figure here comes from version control and the defect record. None of it is about who wrote what, and a review that reads as a performance assessment will produce defensive answers and no change.</w:t>
      </w:r>
    </w:p>
    <w:p>
      <w:r>
        <w:rPr>
          <w:b/>
        </w:rPr>
        <w:t>Classify defects at their origin.</w:t>
      </w:r>
      <w:r>
        <w:t xml:space="preserve"> The most common improvement, more tests, addresses the 18% that are implementation errors. The 60% that come from requirements and design need a different intervention entirely.</w:t>
      </w:r>
    </w:p>
    <w:p>
      <w:r>
        <w:rPr>
          <w:b/>
        </w:rPr>
        <w:t>Only list debt that is charging interest.</w:t>
      </w:r>
      <w:r>
        <w:t xml:space="preserve"> Every codebase has ugly code. The three coupled files cost 44% of defects; the ugly reporting module costs nothing, and treating them as the same kind of problem is how rewrites get proposed.</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Codebase Health Review: Sample</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Codebase Health Review: Sample</dc:title>
  <dc:subject/>
  <dc:creator>BvLogic</dc:creator>
  <cp:keywords>BvLogic, Report, enterprise AI, Codebase Health Review: Sample</cp:keywords>
  <dc:description/>
  <cp:lastModifiedBy/>
  <cp:revision>1</cp:revision>
  <dcterms:created xsi:type="dcterms:W3CDTF">2013-12-23T23:15:00Z</dcterms:created>
  <dcterms:modified xsi:type="dcterms:W3CDTF">2013-12-23T23:15:00Z</dcterms:modified>
  <cp:category>Report</cp:category>
  <dc:language>en-GB</dc:language>
</cp:coreProperties>
</file>