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Security: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BVL-60DFE9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Triage</w:t>
      </w:r>
    </w:p>
    <w:p>
      <w:r>
        <w:rPr>
          <w:b/>
        </w:rPr>
        <w:t>Run:</w:t>
      </w:r>
      <w:r>
        <w:t xml:space="preserve"> continuously, worked in score order.</w:t>
      </w:r>
    </w:p>
    <w:p>
      <w:pPr>
        <w:pStyle w:val="ListNumber"/>
      </w:pPr>
      <w:r>
        <w:t>The analysis agent correlates raw signals into events. Analysts read events, never raw alerts.</w:t>
      </w:r>
    </w:p>
    <w:p>
      <w:pPr>
        <w:pStyle w:val="ListNumber"/>
      </w:pPr>
      <w:r>
        <w:t>Every event carries its evidence and its baseline departure.</w:t>
      </w:r>
    </w:p>
    <w:p>
      <w:pPr>
        <w:pStyle w:val="ListNumber"/>
      </w:pPr>
      <w:r>
        <w:rPr>
          <w:b/>
        </w:rPr>
        <w:t>Nothing is closed without a recorded reason.</w:t>
      </w:r>
      <w:r>
        <w:t xml:space="preserve"> "Closed, no action" is a legitimate outcome and</w:t>
      </w:r>
    </w:p>
    <w:p>
      <w:r>
        <w:t>an illegitimate blank.</w:t>
      </w:r>
    </w:p>
    <w:p>
      <w:pPr>
        <w:pStyle w:val="ListNumber"/>
      </w:pPr>
      <w:r>
        <w:t>Anything closed as a false positive feeds tuning within the week.</w:t>
      </w:r>
    </w:p>
    <w:p>
      <w:r>
        <w:rPr>
          <w:b/>
        </w:rPr>
        <w:t>Closing without investigation is the metric that precedes every missed intrusion</w:t>
      </w:r>
      <w:r>
        <w:t>, which is why it is counted rather than discouraged.</w:t>
      </w:r>
    </w:p>
    <w:p>
      <w:pPr>
        <w:pStyle w:val="Heading1"/>
      </w:pPr>
      <w:r>
        <w:t>SOP 2: The approval gate</w:t>
      </w:r>
    </w:p>
    <w:p>
      <w:r>
        <w:rPr>
          <w:b/>
        </w:rPr>
        <w:t>Run:</w:t>
      </w:r>
      <w:r>
        <w:t xml:space="preserve"> on any response action.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Step</w:t>
            </w:r>
          </w:p>
        </w:tc>
        <w:tc>
          <w:tcPr>
            <w:tcW w:type="dxa" w:w="4706"/>
            <w:shd w:val="clear" w:color="auto" w:fill="F1EAFE"/>
          </w:tcPr>
          <w:p>
            <w:pPr>
              <w:spacing w:after="40"/>
            </w:pPr>
            <w:r>
              <w:rPr>
                <w:b/>
                <w:sz w:val="18"/>
              </w:rPr>
            </w:r>
            <w:r>
              <w:rPr>
                <w:b/>
                <w:sz w:val="18"/>
              </w:rPr>
              <w:t>Rule</w:t>
            </w:r>
          </w:p>
        </w:tc>
      </w:tr>
      <w:tr>
        <w:tc>
          <w:tcPr>
            <w:tcW w:type="dxa" w:w="4706"/>
          </w:tcPr>
          <w:p>
            <w:pPr>
              <w:spacing w:after="40"/>
            </w:pPr>
            <w:r>
              <w:rPr>
                <w:sz w:val="18"/>
              </w:rPr>
            </w:r>
            <w:r>
              <w:rPr>
                <w:sz w:val="18"/>
              </w:rPr>
              <w:t>Score</w:t>
            </w:r>
          </w:p>
        </w:tc>
        <w:tc>
          <w:tcPr>
            <w:tcW w:type="dxa" w:w="4706"/>
          </w:tcPr>
          <w:p>
            <w:pPr>
              <w:spacing w:after="40"/>
            </w:pPr>
            <w:r>
              <w:rPr>
                <w:sz w:val="18"/>
              </w:rPr>
            </w:r>
            <w:r>
              <w:rPr>
                <w:sz w:val="18"/>
              </w:rPr>
              <w:t>Automated. Orders the queue, decides nothing</w:t>
            </w:r>
          </w:p>
        </w:tc>
      </w:tr>
      <w:tr>
        <w:tc>
          <w:tcPr>
            <w:tcW w:type="dxa" w:w="4706"/>
          </w:tcPr>
          <w:p>
            <w:pPr>
              <w:spacing w:after="40"/>
            </w:pPr>
            <w:r>
              <w:rPr>
                <w:sz w:val="18"/>
              </w:rPr>
            </w:r>
            <w:r>
              <w:rPr>
                <w:sz w:val="18"/>
              </w:rPr>
              <w:t>Present</w:t>
            </w:r>
          </w:p>
        </w:tc>
        <w:tc>
          <w:tcPr>
            <w:tcW w:type="dxa" w:w="4706"/>
          </w:tcPr>
          <w:p>
            <w:pPr>
              <w:spacing w:after="40"/>
            </w:pPr>
            <w:r>
              <w:rPr>
                <w:sz w:val="18"/>
              </w:rPr>
            </w:r>
            <w:r>
              <w:rPr>
                <w:sz w:val="18"/>
              </w:rPr>
              <w:t>Event, evidence, proposed response, and the blast radius of that response</w:t>
            </w:r>
          </w:p>
        </w:tc>
      </w:tr>
      <w:tr>
        <w:tc>
          <w:tcPr>
            <w:tcW w:type="dxa" w:w="4706"/>
          </w:tcPr>
          <w:p>
            <w:pPr>
              <w:spacing w:after="40"/>
            </w:pPr>
            <w:r>
              <w:rPr>
                <w:sz w:val="18"/>
              </w:rPr>
            </w:r>
            <w:r>
              <w:rPr>
                <w:sz w:val="18"/>
              </w:rPr>
              <w:t>Approve</w:t>
            </w:r>
          </w:p>
        </w:tc>
        <w:tc>
          <w:tcPr>
            <w:tcW w:type="dxa" w:w="4706"/>
          </w:tcPr>
          <w:p>
            <w:pPr>
              <w:spacing w:after="40"/>
            </w:pPr>
            <w:r>
              <w:rPr>
                <w:sz w:val="18"/>
              </w:rPr>
            </w:r>
            <w:r>
              <w:rPr>
                <w:sz w:val="18"/>
              </w:rPr>
              <w:t>A named human. Under 15 minutes for high-risk, at any hour</w:t>
            </w:r>
          </w:p>
        </w:tc>
      </w:tr>
      <w:tr>
        <w:tc>
          <w:tcPr>
            <w:tcW w:type="dxa" w:w="4706"/>
          </w:tcPr>
          <w:p>
            <w:pPr>
              <w:spacing w:after="40"/>
            </w:pPr>
            <w:r>
              <w:rPr>
                <w:sz w:val="18"/>
              </w:rPr>
            </w:r>
            <w:r>
              <w:rPr>
                <w:sz w:val="18"/>
              </w:rPr>
              <w:t>Execute</w:t>
            </w:r>
          </w:p>
        </w:tc>
        <w:tc>
          <w:tcPr>
            <w:tcW w:type="dxa" w:w="4706"/>
          </w:tcPr>
          <w:p>
            <w:pPr>
              <w:spacing w:after="40"/>
            </w:pPr>
            <w:r>
              <w:rPr>
                <w:sz w:val="18"/>
              </w:rPr>
            </w:r>
            <w:r>
              <w:rPr>
                <w:sz w:val="18"/>
              </w:rPr>
              <w:t>Only pre-approved action types, only after approval</w:t>
            </w:r>
          </w:p>
        </w:tc>
      </w:tr>
      <w:tr>
        <w:tc>
          <w:tcPr>
            <w:tcW w:type="dxa" w:w="4706"/>
          </w:tcPr>
          <w:p>
            <w:pPr>
              <w:spacing w:after="40"/>
            </w:pPr>
            <w:r>
              <w:rPr>
                <w:sz w:val="18"/>
              </w:rPr>
            </w:r>
            <w:r>
              <w:rPr>
                <w:sz w:val="18"/>
              </w:rPr>
              <w:t>Verify</w:t>
            </w:r>
          </w:p>
        </w:tc>
        <w:tc>
          <w:tcPr>
            <w:tcW w:type="dxa" w:w="4706"/>
          </w:tcPr>
          <w:p>
            <w:pPr>
              <w:spacing w:after="40"/>
            </w:pPr>
            <w:r>
              <w:rPr>
                <w:sz w:val="18"/>
              </w:rPr>
            </w:r>
            <w:r>
              <w:rPr>
                <w:sz w:val="18"/>
              </w:rPr>
              <w:t>Confirm it took effect. An unverified response is an assumption</w:t>
            </w:r>
          </w:p>
        </w:tc>
      </w:tr>
      <w:tr>
        <w:tc>
          <w:tcPr>
            <w:tcW w:type="dxa" w:w="4706"/>
          </w:tcPr>
          <w:p>
            <w:pPr>
              <w:spacing w:after="40"/>
            </w:pPr>
            <w:r>
              <w:rPr>
                <w:sz w:val="18"/>
              </w:rPr>
            </w:r>
            <w:r>
              <w:rPr>
                <w:sz w:val="18"/>
              </w:rPr>
              <w:t>Log</w:t>
            </w:r>
          </w:p>
        </w:tc>
        <w:tc>
          <w:tcPr>
            <w:tcW w:type="dxa" w:w="4706"/>
          </w:tcPr>
          <w:p>
            <w:pPr>
              <w:spacing w:after="40"/>
            </w:pPr>
            <w:r>
              <w:rPr>
                <w:sz w:val="18"/>
              </w:rPr>
            </w:r>
            <w:r>
              <w:rPr>
                <w:sz w:val="18"/>
              </w:rPr>
              <w:t>Who approved, what ran, what changed</w:t>
            </w:r>
          </w:p>
        </w:tc>
      </w:tr>
    </w:tbl>
    <w:p>
      <w:pPr>
        <w:spacing w:after="40"/>
      </w:pPr>
    </w:p>
    <w:p>
      <w:r>
        <w:rPr>
          <w:b/>
        </w:rPr>
        <w:t>The blast radius line is not optional.</w:t>
      </w:r>
      <w:r>
        <w:t xml:space="preserve"> Disabling a service account stops an attacker and may also stop payroll. The approver must see both halves before deciding.</w:t>
      </w:r>
    </w:p>
    <w:p>
      <w:pPr>
        <w:pStyle w:val="Heading1"/>
      </w:pPr>
      <w:r>
        <w:t>SOP 3: Containment</w:t>
      </w:r>
    </w:p>
    <w:p>
      <w:r>
        <w:rPr>
          <w:b/>
        </w:rPr>
        <w:t>Run:</w:t>
      </w:r>
      <w:r>
        <w:t xml:space="preserve"> on confirmed compromise.</w:t>
      </w:r>
    </w:p>
    <w:p>
      <w:pPr>
        <w:pStyle w:val="ListNumber"/>
      </w:pPr>
      <w:r>
        <w:rPr>
          <w:b/>
        </w:rPr>
        <w:t>Preserve evidence before changing anything.</w:t>
      </w:r>
      <w:r>
        <w:t xml:space="preserve"> Snapshot, capture memory if feasible, export</w:t>
      </w:r>
    </w:p>
    <w:p>
      <w:r>
        <w:t>logs. Containment destroys the evidence needed to understand scope.</w:t>
      </w:r>
    </w:p>
    <w:p>
      <w:pPr>
        <w:pStyle w:val="ListNumber"/>
      </w:pPr>
      <w:r>
        <w:t>Contain, then eradicate, then recover. In that order.</w:t>
      </w:r>
    </w:p>
    <w:p>
      <w:pPr>
        <w:pStyle w:val="ListNumber"/>
      </w:pPr>
      <w:r>
        <w:t xml:space="preserve">Rotate credentials </w:t>
      </w:r>
      <w:r>
        <w:rPr>
          <w:b/>
        </w:rPr>
        <w:t>after</w:t>
      </w:r>
      <w:r>
        <w:t xml:space="preserve"> the access path is closed. Rotating first tells the attacker they</w:t>
      </w:r>
    </w:p>
    <w:p>
      <w:r>
        <w:t>are seen while they still have a way back in.</w:t>
      </w:r>
    </w:p>
    <w:p>
      <w:pPr>
        <w:pStyle w:val="ListNumber"/>
      </w:pPr>
      <w:r>
        <w:t>Assume lateral movement until disproven. The first host found is rarely the first host used.</w:t>
      </w:r>
    </w:p>
    <w:p>
      <w:pPr>
        <w:pStyle w:val="ListNumber"/>
      </w:pPr>
      <w:r>
        <w:rPr>
          <w:b/>
        </w:rPr>
        <w:t>Freeze automated remediation</w:t>
      </w:r>
      <w:r>
        <w:t xml:space="preserve"> on affected systems for the duration.</w:t>
      </w:r>
    </w:p>
    <w:p>
      <w:pPr>
        <w:pStyle w:val="Heading1"/>
      </w:pPr>
      <w:r>
        <w:t>SOP 4: Vulnerability handling</w:t>
      </w:r>
    </w:p>
    <w:p>
      <w:r>
        <w:rPr>
          <w:b/>
        </w:rPr>
        <w:t>Run:</w:t>
      </w:r>
      <w:r>
        <w:t xml:space="preserve"> continuously, reviewed weekly.</w:t>
      </w:r>
    </w:p>
    <w:p>
      <w:r>
        <w:t>Prioritise by exploitability and exposure, not by CVSS alone. A critical on an internal system nobody can reach matters less than a medium on the login page, and a scanner cannot tell you that.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Severity, adjusted for exposure</w:t>
            </w:r>
          </w:p>
        </w:tc>
        <w:tc>
          <w:tcPr>
            <w:tcW w:type="dxa" w:w="4706"/>
            <w:shd w:val="clear" w:color="auto" w:fill="F1EAFE"/>
          </w:tcPr>
          <w:p>
            <w:pPr>
              <w:spacing w:after="40"/>
            </w:pPr>
            <w:r>
              <w:rPr>
                <w:b/>
                <w:sz w:val="18"/>
              </w:rPr>
            </w:r>
            <w:r>
              <w:rPr>
                <w:b/>
                <w:sz w:val="18"/>
              </w:rPr>
              <w:t>Fix within</w:t>
            </w:r>
          </w:p>
        </w:tc>
      </w:tr>
      <w:tr>
        <w:tc>
          <w:tcPr>
            <w:tcW w:type="dxa" w:w="4706"/>
          </w:tcPr>
          <w:p>
            <w:pPr>
              <w:spacing w:after="40"/>
            </w:pPr>
            <w:r>
              <w:rPr>
                <w:sz w:val="18"/>
              </w:rPr>
            </w:r>
            <w:r>
              <w:rPr>
                <w:sz w:val="18"/>
              </w:rPr>
              <w:t>Critical, internet-facing</w:t>
            </w:r>
          </w:p>
        </w:tc>
        <w:tc>
          <w:tcPr>
            <w:tcW w:type="dxa" w:w="4706"/>
          </w:tcPr>
          <w:p>
            <w:pPr>
              <w:spacing w:after="40"/>
            </w:pPr>
            <w:r>
              <w:rPr>
                <w:sz w:val="18"/>
              </w:rPr>
            </w:r>
            <w:r>
              <w:rPr>
                <w:sz w:val="18"/>
              </w:rPr>
              <w:t>48 hours</w:t>
            </w:r>
          </w:p>
        </w:tc>
      </w:tr>
      <w:tr>
        <w:tc>
          <w:tcPr>
            <w:tcW w:type="dxa" w:w="4706"/>
          </w:tcPr>
          <w:p>
            <w:pPr>
              <w:spacing w:after="40"/>
            </w:pPr>
            <w:r>
              <w:rPr>
                <w:sz w:val="18"/>
              </w:rPr>
            </w:r>
            <w:r>
              <w:rPr>
                <w:sz w:val="18"/>
              </w:rPr>
              <w:t>Critical, internal</w:t>
            </w:r>
          </w:p>
        </w:tc>
        <w:tc>
          <w:tcPr>
            <w:tcW w:type="dxa" w:w="4706"/>
          </w:tcPr>
          <w:p>
            <w:pPr>
              <w:spacing w:after="40"/>
            </w:pPr>
            <w:r>
              <w:rPr>
                <w:sz w:val="18"/>
              </w:rPr>
            </w:r>
            <w:r>
              <w:rPr>
                <w:sz w:val="18"/>
              </w:rPr>
              <w:t>7 days</w:t>
            </w:r>
          </w:p>
        </w:tc>
      </w:tr>
      <w:tr>
        <w:tc>
          <w:tcPr>
            <w:tcW w:type="dxa" w:w="4706"/>
          </w:tcPr>
          <w:p>
            <w:pPr>
              <w:spacing w:after="40"/>
            </w:pPr>
            <w:r>
              <w:rPr>
                <w:sz w:val="18"/>
              </w:rPr>
            </w:r>
            <w:r>
              <w:rPr>
                <w:sz w:val="18"/>
              </w:rPr>
              <w:t>High</w:t>
            </w:r>
          </w:p>
        </w:tc>
        <w:tc>
          <w:tcPr>
            <w:tcW w:type="dxa" w:w="4706"/>
          </w:tcPr>
          <w:p>
            <w:pPr>
              <w:spacing w:after="40"/>
            </w:pPr>
            <w:r>
              <w:rPr>
                <w:sz w:val="18"/>
              </w:rPr>
            </w:r>
            <w:r>
              <w:rPr>
                <w:sz w:val="18"/>
              </w:rPr>
              <w:t>30 days</w:t>
            </w:r>
          </w:p>
        </w:tc>
      </w:tr>
      <w:tr>
        <w:tc>
          <w:tcPr>
            <w:tcW w:type="dxa" w:w="4706"/>
          </w:tcPr>
          <w:p>
            <w:pPr>
              <w:spacing w:after="40"/>
            </w:pPr>
            <w:r>
              <w:rPr>
                <w:sz w:val="18"/>
              </w:rPr>
            </w:r>
            <w:r>
              <w:rPr>
                <w:sz w:val="18"/>
              </w:rPr>
              <w:t>Medium</w:t>
            </w:r>
          </w:p>
        </w:tc>
        <w:tc>
          <w:tcPr>
            <w:tcW w:type="dxa" w:w="4706"/>
          </w:tcPr>
          <w:p>
            <w:pPr>
              <w:spacing w:after="40"/>
            </w:pPr>
            <w:r>
              <w:rPr>
                <w:sz w:val="18"/>
              </w:rPr>
            </w:r>
            <w:r>
              <w:rPr>
                <w:sz w:val="18"/>
              </w:rPr>
              <w:t>90 days, or accept with a dated exception</w:t>
            </w:r>
          </w:p>
        </w:tc>
      </w:tr>
    </w:tbl>
    <w:p>
      <w:pPr>
        <w:spacing w:after="40"/>
      </w:pPr>
    </w:p>
    <w:p>
      <w:pPr>
        <w:pStyle w:val="Heading1"/>
      </w:pPr>
      <w:r>
        <w:t>SOP 5: Access review</w:t>
      </w:r>
    </w:p>
    <w:p>
      <w:r>
        <w:rPr>
          <w:b/>
        </w:rPr>
        <w:t>Run:</w:t>
      </w:r>
      <w:r>
        <w:t xml:space="preserve"> quarterly, with Data and Analytics.</w:t>
      </w:r>
    </w:p>
    <w:p>
      <w:pPr>
        <w:pStyle w:val="ListBullet"/>
      </w:pPr>
      <w:r>
        <w:t>Every account, every privilege, every service credential.</w:t>
      </w:r>
    </w:p>
    <w:p>
      <w:pPr>
        <w:pStyle w:val="ListBullet"/>
      </w:pPr>
      <w:r>
        <w:rPr>
          <w:b/>
        </w:rPr>
        <w:t>Anything unused for 90 days is removed</w:t>
      </w:r>
      <w:r>
        <w:t>, not queried. Restoring access takes minutes; standing</w:t>
      </w:r>
    </w:p>
    <w:p>
      <w:r>
        <w:t>unused privilege is permanent attack surface.</w:t>
      </w:r>
    </w:p>
    <w:p>
      <w:pPr>
        <w:pStyle w:val="ListBullet"/>
      </w:pPr>
      <w:r>
        <w:t>Every service account has a named human owner. An unowned service account is the one nobody</w:t>
      </w:r>
    </w:p>
    <w:p>
      <w:r>
        <w:t>notices being used.</w:t>
      </w:r>
    </w:p>
    <w:p>
      <w:pPr>
        <w:pStyle w:val="ListBullet"/>
      </w:pPr>
      <w:r>
        <w:t>Credentials older than 180 days are rotated on a schedule rather than after an incident.</w:t>
      </w:r>
    </w:p>
    <w:p>
      <w:pPr>
        <w:pStyle w:val="Heading1"/>
      </w:pPr>
      <w:r>
        <w:t>SOP 6: Exception register</w:t>
      </w:r>
    </w:p>
    <w:p>
      <w:r>
        <w:rPr>
          <w:b/>
        </w:rPr>
        <w:t>Run:</w:t>
      </w:r>
      <w:r>
        <w:t xml:space="preserve"> monthly.</w:t>
      </w:r>
    </w:p>
    <w:p>
      <w:r>
        <w:t xml:space="preserve">Every accepted risk gets a row: what, why, who accepted it, and </w:t>
      </w:r>
      <w:r>
        <w:rPr>
          <w:b/>
        </w:rPr>
        <w:t>when it expires</w:t>
      </w:r>
      <w:r>
        <w:t>.</w:t>
      </w:r>
    </w:p>
    <w:p>
      <w:r>
        <w:t>An exception without an expiry is not an exception, it is a decision nobody admitted making. The monthly review exists to find the ones whose date passed, and there are always some.</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Confirmed compromise</w:t>
            </w:r>
          </w:p>
        </w:tc>
        <w:tc>
          <w:tcPr>
            <w:tcW w:type="dxa" w:w="4706"/>
          </w:tcPr>
          <w:p>
            <w:pPr>
              <w:spacing w:after="40"/>
            </w:pPr>
            <w:r>
              <w:rPr>
                <w:sz w:val="18"/>
              </w:rPr>
            </w:r>
            <w:r>
              <w:rPr>
                <w:sz w:val="18"/>
              </w:rPr>
              <w:t>Incident lead and CEO immediately. Legal within the hour if data is involved</w:t>
            </w:r>
          </w:p>
        </w:tc>
      </w:tr>
      <w:tr>
        <w:tc>
          <w:tcPr>
            <w:tcW w:type="dxa" w:w="4706"/>
          </w:tcPr>
          <w:p>
            <w:pPr>
              <w:spacing w:after="40"/>
            </w:pPr>
            <w:r>
              <w:rPr>
                <w:sz w:val="18"/>
              </w:rPr>
            </w:r>
            <w:r>
              <w:rPr>
                <w:sz w:val="18"/>
              </w:rPr>
              <w:t>Customer data possibly exposed</w:t>
            </w:r>
          </w:p>
        </w:tc>
        <w:tc>
          <w:tcPr>
            <w:tcW w:type="dxa" w:w="4706"/>
          </w:tcPr>
          <w:p>
            <w:pPr>
              <w:spacing w:after="40"/>
            </w:pPr>
            <w:r>
              <w:rPr>
                <w:sz w:val="18"/>
              </w:rPr>
            </w:r>
            <w:r>
              <w:rPr>
                <w:sz w:val="18"/>
              </w:rPr>
              <w:t>Legal, for the notification clock. It starts before you are certain</w:t>
            </w:r>
          </w:p>
        </w:tc>
      </w:tr>
      <w:tr>
        <w:tc>
          <w:tcPr>
            <w:tcW w:type="dxa" w:w="4706"/>
          </w:tcPr>
          <w:p>
            <w:pPr>
              <w:spacing w:after="40"/>
            </w:pPr>
            <w:r>
              <w:rPr>
                <w:sz w:val="18"/>
              </w:rPr>
            </w:r>
            <w:r>
              <w:rPr>
                <w:sz w:val="18"/>
              </w:rPr>
              <w:t>Approval unreachable for a high-risk event</w:t>
            </w:r>
          </w:p>
        </w:tc>
        <w:tc>
          <w:tcPr>
            <w:tcW w:type="dxa" w:w="4706"/>
          </w:tcPr>
          <w:p>
            <w:pPr>
              <w:spacing w:after="40"/>
            </w:pPr>
            <w:r>
              <w:rPr>
                <w:sz w:val="18"/>
              </w:rPr>
            </w:r>
            <w:r>
              <w:rPr>
                <w:sz w:val="18"/>
              </w:rPr>
              <w:t>Deputy. If also unreachable, escalate rather than auto-approve</w:t>
            </w:r>
          </w:p>
        </w:tc>
      </w:tr>
      <w:tr>
        <w:tc>
          <w:tcPr>
            <w:tcW w:type="dxa" w:w="4706"/>
          </w:tcPr>
          <w:p>
            <w:pPr>
              <w:spacing w:after="40"/>
            </w:pPr>
            <w:r>
              <w:rPr>
                <w:sz w:val="18"/>
              </w:rPr>
            </w:r>
            <w:r>
              <w:rPr>
                <w:sz w:val="18"/>
              </w:rPr>
              <w:t>An agent proposing a response outside the allowlist</w:t>
            </w:r>
          </w:p>
        </w:tc>
        <w:tc>
          <w:tcPr>
            <w:tcW w:type="dxa" w:w="4706"/>
          </w:tcPr>
          <w:p>
            <w:pPr>
              <w:spacing w:after="40"/>
            </w:pPr>
            <w:r>
              <w:rPr>
                <w:sz w:val="18"/>
              </w:rPr>
            </w:r>
            <w:r>
              <w:rPr>
                <w:sz w:val="18"/>
              </w:rPr>
              <w:t>Refuse, investigate why it was proposed</w:t>
            </w:r>
          </w:p>
        </w:tc>
      </w:tr>
      <w:tr>
        <w:tc>
          <w:tcPr>
            <w:tcW w:type="dxa" w:w="4706"/>
          </w:tcPr>
          <w:p>
            <w:pPr>
              <w:spacing w:after="40"/>
            </w:pPr>
            <w:r>
              <w:rPr>
                <w:sz w:val="18"/>
              </w:rPr>
            </w:r>
            <w:r>
              <w:rPr>
                <w:sz w:val="18"/>
              </w:rPr>
              <w:t>Coverage below 95%</w:t>
            </w:r>
          </w:p>
        </w:tc>
        <w:tc>
          <w:tcPr>
            <w:tcW w:type="dxa" w:w="4706"/>
          </w:tcPr>
          <w:p>
            <w:pPr>
              <w:spacing w:after="40"/>
            </w:pPr>
            <w:r>
              <w:rPr>
                <w:sz w:val="18"/>
              </w:rPr>
            </w:r>
            <w:r>
              <w:rPr>
                <w:sz w:val="18"/>
              </w:rPr>
              <w:t>CTO. Unmonitored assets are the ones that get used</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standard operating procedures</dc:title>
  <dc:subject/>
  <dc:creator>BvLogic</dc:creator>
  <cp:keywords>BvLogic, Sop, enterprise AI, Security: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