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Security: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BVL-025855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Security metrics fail in a specific way: the comfortable ones are easy to grow and say nothing. Attacks blocked, alerts generated and tools deployed all rise without the company being safer.</w:t>
      </w:r>
    </w:p>
    <w:p>
      <w:r>
        <w:t>These measure exposure, speed and whether the signal is trusted.</w:t>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Dwell time</w:t>
            </w:r>
          </w:p>
        </w:tc>
        <w:tc>
          <w:tcPr>
            <w:tcW w:type="dxa" w:w="2353"/>
          </w:tcPr>
          <w:p>
            <w:pPr>
              <w:spacing w:after="40"/>
            </w:pPr>
            <w:r>
              <w:rPr>
                <w:sz w:val="18"/>
              </w:rPr>
            </w:r>
            <w:r>
              <w:rPr>
                <w:sz w:val="18"/>
              </w:rPr>
              <w:t>Compromise to detection</w:t>
            </w:r>
          </w:p>
        </w:tc>
        <w:tc>
          <w:tcPr>
            <w:tcW w:type="dxa" w:w="2353"/>
          </w:tcPr>
          <w:p>
            <w:pPr>
              <w:spacing w:after="40"/>
            </w:pPr>
            <w:r>
              <w:rPr>
                <w:sz w:val="18"/>
              </w:rPr>
            </w:r>
            <w:r>
              <w:rPr>
                <w:sz w:val="18"/>
              </w:rPr>
              <w:t>Under 24 hours</w:t>
            </w:r>
          </w:p>
        </w:tc>
        <w:tc>
          <w:tcPr>
            <w:tcW w:type="dxa" w:w="2353"/>
          </w:tcPr>
          <w:p>
            <w:pPr>
              <w:spacing w:after="40"/>
            </w:pPr>
            <w:r>
              <w:rPr>
                <w:sz w:val="18"/>
              </w:rPr>
            </w:r>
            <w:r>
              <w:rPr>
                <w:sz w:val="18"/>
              </w:rPr>
              <w:t>Only counting incidents that were detected, which excludes the worst ones by construction</w:t>
            </w:r>
          </w:p>
        </w:tc>
      </w:tr>
      <w:tr>
        <w:tc>
          <w:tcPr>
            <w:tcW w:type="dxa" w:w="2353"/>
          </w:tcPr>
          <w:p>
            <w:pPr>
              <w:spacing w:after="40"/>
            </w:pPr>
            <w:r>
              <w:rPr>
                <w:sz w:val="18"/>
              </w:rPr>
            </w:r>
            <w:r>
              <w:rPr>
                <w:sz w:val="18"/>
              </w:rPr>
              <w:t>Time to contain</w:t>
            </w:r>
          </w:p>
        </w:tc>
        <w:tc>
          <w:tcPr>
            <w:tcW w:type="dxa" w:w="2353"/>
          </w:tcPr>
          <w:p>
            <w:pPr>
              <w:spacing w:after="40"/>
            </w:pPr>
            <w:r>
              <w:rPr>
                <w:sz w:val="18"/>
              </w:rPr>
            </w:r>
            <w:r>
              <w:rPr>
                <w:sz w:val="18"/>
              </w:rPr>
              <w:t>Detection to contained</w:t>
            </w:r>
          </w:p>
        </w:tc>
        <w:tc>
          <w:tcPr>
            <w:tcW w:type="dxa" w:w="2353"/>
          </w:tcPr>
          <w:p>
            <w:pPr>
              <w:spacing w:after="40"/>
            </w:pPr>
            <w:r>
              <w:rPr>
                <w:sz w:val="18"/>
              </w:rPr>
            </w:r>
            <w:r>
              <w:rPr>
                <w:sz w:val="18"/>
              </w:rPr>
              <w:t>Under 4 hours</w:t>
            </w:r>
          </w:p>
        </w:tc>
        <w:tc>
          <w:tcPr>
            <w:tcW w:type="dxa" w:w="2353"/>
          </w:tcPr>
          <w:p>
            <w:pPr>
              <w:spacing w:after="40"/>
            </w:pPr>
            <w:r>
              <w:rPr>
                <w:sz w:val="18"/>
              </w:rPr>
            </w:r>
            <w:r>
              <w:rPr>
                <w:sz w:val="18"/>
              </w:rPr>
              <w:t>Calling partial containment done</w:t>
            </w:r>
          </w:p>
        </w:tc>
      </w:tr>
      <w:tr>
        <w:tc>
          <w:tcPr>
            <w:tcW w:type="dxa" w:w="2353"/>
          </w:tcPr>
          <w:p>
            <w:pPr>
              <w:spacing w:after="40"/>
            </w:pPr>
            <w:r>
              <w:rPr>
                <w:sz w:val="18"/>
              </w:rPr>
            </w:r>
            <w:r>
              <w:rPr>
                <w:sz w:val="18"/>
              </w:rPr>
              <w:t>False-positive rate</w:t>
            </w:r>
          </w:p>
        </w:tc>
        <w:tc>
          <w:tcPr>
            <w:tcW w:type="dxa" w:w="2353"/>
          </w:tcPr>
          <w:p>
            <w:pPr>
              <w:spacing w:after="40"/>
            </w:pPr>
            <w:r>
              <w:rPr>
                <w:sz w:val="18"/>
              </w:rPr>
            </w:r>
            <w:r>
              <w:rPr>
                <w:sz w:val="18"/>
              </w:rPr>
              <w:t>Alerts that were nothing</w:t>
            </w:r>
          </w:p>
        </w:tc>
        <w:tc>
          <w:tcPr>
            <w:tcW w:type="dxa" w:w="2353"/>
          </w:tcPr>
          <w:p>
            <w:pPr>
              <w:spacing w:after="40"/>
            </w:pPr>
            <w:r>
              <w:rPr>
                <w:sz w:val="18"/>
              </w:rPr>
            </w:r>
            <w:r>
              <w:rPr>
                <w:sz w:val="18"/>
              </w:rPr>
              <w:t>Under 20%</w:t>
            </w:r>
          </w:p>
        </w:tc>
        <w:tc>
          <w:tcPr>
            <w:tcW w:type="dxa" w:w="2353"/>
          </w:tcPr>
          <w:p>
            <w:pPr>
              <w:spacing w:after="40"/>
            </w:pPr>
            <w:r>
              <w:rPr>
                <w:sz w:val="18"/>
              </w:rPr>
            </w:r>
            <w:r>
              <w:rPr>
                <w:sz w:val="18"/>
              </w:rPr>
              <w:t>Tuning by suppression rather than by improving the signal</w:t>
            </w:r>
          </w:p>
        </w:tc>
      </w:tr>
      <w:tr>
        <w:tc>
          <w:tcPr>
            <w:tcW w:type="dxa" w:w="2353"/>
          </w:tcPr>
          <w:p>
            <w:pPr>
              <w:spacing w:after="40"/>
            </w:pPr>
            <w:r>
              <w:rPr>
                <w:sz w:val="18"/>
              </w:rPr>
            </w:r>
            <w:r>
              <w:rPr>
                <w:sz w:val="18"/>
              </w:rPr>
              <w:t>Critical vulnerability age</w:t>
            </w:r>
          </w:p>
        </w:tc>
        <w:tc>
          <w:tcPr>
            <w:tcW w:type="dxa" w:w="2353"/>
          </w:tcPr>
          <w:p>
            <w:pPr>
              <w:spacing w:after="40"/>
            </w:pPr>
            <w:r>
              <w:rPr>
                <w:sz w:val="18"/>
              </w:rPr>
            </w:r>
            <w:r>
              <w:rPr>
                <w:sz w:val="18"/>
              </w:rPr>
              <w:t>Days a critical stays open on an exposed system</w:t>
            </w:r>
          </w:p>
        </w:tc>
        <w:tc>
          <w:tcPr>
            <w:tcW w:type="dxa" w:w="2353"/>
          </w:tcPr>
          <w:p>
            <w:pPr>
              <w:spacing w:after="40"/>
            </w:pPr>
            <w:r>
              <w:rPr>
                <w:sz w:val="18"/>
              </w:rPr>
            </w:r>
            <w:r>
              <w:rPr>
                <w:sz w:val="18"/>
              </w:rPr>
              <w:t>Under 7</w:t>
            </w:r>
          </w:p>
        </w:tc>
        <w:tc>
          <w:tcPr>
            <w:tcW w:type="dxa" w:w="2353"/>
          </w:tcPr>
          <w:p>
            <w:pPr>
              <w:spacing w:after="40"/>
            </w:pPr>
            <w:r>
              <w:rPr>
                <w:sz w:val="18"/>
              </w:rPr>
            </w:r>
            <w:r>
              <w:rPr>
                <w:sz w:val="18"/>
              </w:rPr>
              <w:t>Reclassifying critical as high</w:t>
            </w:r>
          </w:p>
        </w:tc>
      </w:tr>
      <w:tr>
        <w:tc>
          <w:tcPr>
            <w:tcW w:type="dxa" w:w="2353"/>
          </w:tcPr>
          <w:p>
            <w:pPr>
              <w:spacing w:after="40"/>
            </w:pPr>
            <w:r>
              <w:rPr>
                <w:sz w:val="18"/>
              </w:rPr>
            </w:r>
            <w:r>
              <w:rPr>
                <w:sz w:val="18"/>
              </w:rPr>
              <w:t>Coverage</w:t>
            </w:r>
          </w:p>
        </w:tc>
        <w:tc>
          <w:tcPr>
            <w:tcW w:type="dxa" w:w="2353"/>
          </w:tcPr>
          <w:p>
            <w:pPr>
              <w:spacing w:after="40"/>
            </w:pPr>
            <w:r>
              <w:rPr>
                <w:sz w:val="18"/>
              </w:rPr>
            </w:r>
            <w:r>
              <w:rPr>
                <w:sz w:val="18"/>
              </w:rPr>
              <w:t>Share of assets actually reporting telemetry</w:t>
            </w:r>
          </w:p>
        </w:tc>
        <w:tc>
          <w:tcPr>
            <w:tcW w:type="dxa" w:w="2353"/>
          </w:tcPr>
          <w:p>
            <w:pPr>
              <w:spacing w:after="40"/>
            </w:pPr>
            <w:r>
              <w:rPr>
                <w:sz w:val="18"/>
              </w:rPr>
            </w:r>
            <w:r>
              <w:rPr>
                <w:sz w:val="18"/>
              </w:rPr>
              <w:t>Above 98%</w:t>
            </w:r>
          </w:p>
        </w:tc>
        <w:tc>
          <w:tcPr>
            <w:tcW w:type="dxa" w:w="2353"/>
          </w:tcPr>
          <w:p>
            <w:pPr>
              <w:spacing w:after="40"/>
            </w:pPr>
            <w:r>
              <w:rPr>
                <w:sz w:val="18"/>
              </w:rPr>
            </w:r>
            <w:r>
              <w:rPr>
                <w:sz w:val="18"/>
              </w:rPr>
              <w:t>Counting assets we know about. The unmonitored asset is the one that gets used</w:t>
            </w:r>
          </w:p>
        </w:tc>
      </w:tr>
      <w:tr>
        <w:tc>
          <w:tcPr>
            <w:tcW w:type="dxa" w:w="2353"/>
          </w:tcPr>
          <w:p>
            <w:pPr>
              <w:spacing w:after="40"/>
            </w:pPr>
            <w:r>
              <w:rPr>
                <w:sz w:val="18"/>
              </w:rPr>
            </w:r>
            <w:r>
              <w:rPr>
                <w:sz w:val="18"/>
              </w:rPr>
              <w:t>Approval latency</w:t>
            </w:r>
          </w:p>
        </w:tc>
        <w:tc>
          <w:tcPr>
            <w:tcW w:type="dxa" w:w="2353"/>
          </w:tcPr>
          <w:p>
            <w:pPr>
              <w:spacing w:after="40"/>
            </w:pPr>
            <w:r>
              <w:rPr>
                <w:sz w:val="18"/>
              </w:rPr>
            </w:r>
            <w:r>
              <w:rPr>
                <w:sz w:val="18"/>
              </w:rPr>
              <w:t>Score to human decision on a high-risk event</w:t>
            </w:r>
          </w:p>
        </w:tc>
        <w:tc>
          <w:tcPr>
            <w:tcW w:type="dxa" w:w="2353"/>
          </w:tcPr>
          <w:p>
            <w:pPr>
              <w:spacing w:after="40"/>
            </w:pPr>
            <w:r>
              <w:rPr>
                <w:sz w:val="18"/>
              </w:rPr>
            </w:r>
            <w:r>
              <w:rPr>
                <w:sz w:val="18"/>
              </w:rPr>
              <w:t>Under 15 min</w:t>
            </w:r>
          </w:p>
        </w:tc>
        <w:tc>
          <w:tcPr>
            <w:tcW w:type="dxa" w:w="2353"/>
          </w:tcPr>
          <w:p>
            <w:pPr>
              <w:spacing w:after="40"/>
            </w:pPr>
            <w:r>
              <w:rPr>
                <w:sz w:val="18"/>
              </w:rPr>
            </w:r>
            <w:r>
              <w:rPr>
                <w:sz w:val="18"/>
              </w:rPr>
              <w:t>Auto-approving to hit the number, which removes the gate entirely</w:t>
            </w:r>
          </w:p>
        </w:tc>
      </w:tr>
    </w:tbl>
    <w:p>
      <w:pPr>
        <w:spacing w:after="40"/>
      </w:pPr>
    </w:p>
    <w:p>
      <w:r>
        <w:rPr>
          <w:b/>
        </w:rPr>
        <w:t>Approval latency is the honest test of the human gate.</w:t>
      </w:r>
      <w:r>
        <w:t xml:space="preserve"> A gate nobody can reach at 3am is a gate that will be removed within the quarter, and it will be removed for good practical reasons. The way to keep it is to make it fast, not optional.</w:t>
      </w:r>
    </w:p>
    <w:p>
      <w:r>
        <w:rPr>
          <w:b/>
        </w:rPr>
        <w:t>Coverage is the number most likely to be quietly wrong.</w:t>
      </w:r>
      <w:r>
        <w:t xml:space="preserve"> It is measured against the asset inventory, and the asset that hurts you is usually the one missing from it. Reconcile against billing and DNS, not against the inventory alone.</w:t>
      </w:r>
    </w:p>
    <w:p>
      <w:pPr>
        <w:pStyle w:val="Heading1"/>
      </w:pPr>
      <w:r>
        <w:t>Two counter-metrics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Alerts closed without investigation</w:t>
            </w:r>
          </w:p>
        </w:tc>
        <w:tc>
          <w:tcPr>
            <w:tcW w:type="dxa" w:w="4706"/>
          </w:tcPr>
          <w:p>
            <w:pPr>
              <w:spacing w:after="40"/>
            </w:pPr>
            <w:r>
              <w:rPr>
                <w:sz w:val="18"/>
              </w:rPr>
            </w:r>
            <w:r>
              <w:rPr>
                <w:sz w:val="18"/>
              </w:rPr>
              <w:t>A team overwhelmed and triaging by clicking. The precursor to every missed intrusion</w:t>
            </w:r>
          </w:p>
        </w:tc>
      </w:tr>
      <w:tr>
        <w:tc>
          <w:tcPr>
            <w:tcW w:type="dxa" w:w="4706"/>
          </w:tcPr>
          <w:p>
            <w:pPr>
              <w:spacing w:after="40"/>
            </w:pPr>
            <w:r>
              <w:rPr>
                <w:sz w:val="18"/>
              </w:rPr>
            </w:r>
            <w:r>
              <w:rPr>
                <w:sz w:val="18"/>
              </w:rPr>
              <w:t>Exceptions granted and still open</w:t>
            </w:r>
          </w:p>
        </w:tc>
        <w:tc>
          <w:tcPr>
            <w:tcW w:type="dxa" w:w="4706"/>
          </w:tcPr>
          <w:p>
            <w:pPr>
              <w:spacing w:after="40"/>
            </w:pPr>
            <w:r>
              <w:rPr>
                <w:sz w:val="18"/>
              </w:rPr>
            </w:r>
            <w:r>
              <w:rPr>
                <w:sz w:val="18"/>
              </w:rPr>
              <w:t>Temporary risk acceptances that became permanent. Every one has a date and most are past it</w:t>
            </w:r>
          </w:p>
        </w:tc>
      </w:tr>
    </w:tbl>
    <w:p>
      <w:pPr>
        <w:spacing w:after="40"/>
      </w:pPr>
    </w:p>
    <w:p>
      <w:pPr>
        <w:pStyle w:val="Heading1"/>
      </w:pPr>
      <w:r>
        <w:t>Exposure review, monthly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Question</w:t>
            </w:r>
          </w:p>
        </w:tc>
        <w:tc>
          <w:tcPr>
            <w:tcW w:type="dxa" w:w="4706"/>
            <w:shd w:val="clear" w:color="auto" w:fill="F1EAFE"/>
          </w:tcPr>
          <w:p>
            <w:pPr>
              <w:spacing w:after="40"/>
            </w:pPr>
            <w:r>
              <w:rPr>
                <w:b/>
                <w:sz w:val="18"/>
              </w:rPr>
            </w:r>
            <w:r>
              <w:rPr>
                <w:b/>
                <w:sz w:val="18"/>
              </w:rPr>
              <w:t>Bad answer</w:t>
            </w:r>
          </w:p>
        </w:tc>
      </w:tr>
      <w:tr>
        <w:tc>
          <w:tcPr>
            <w:tcW w:type="dxa" w:w="4706"/>
          </w:tcPr>
          <w:p>
            <w:pPr>
              <w:spacing w:after="40"/>
            </w:pPr>
            <w:r>
              <w:rPr>
                <w:sz w:val="18"/>
              </w:rPr>
            </w:r>
            <w:r>
              <w:rPr>
                <w:sz w:val="18"/>
              </w:rPr>
              <w:t>What is internet-facing that does not need to be?</w:t>
            </w:r>
          </w:p>
        </w:tc>
        <w:tc>
          <w:tcPr>
            <w:tcW w:type="dxa" w:w="4706"/>
          </w:tcPr>
          <w:p>
            <w:pPr>
              <w:spacing w:after="40"/>
            </w:pPr>
            <w:r>
              <w:rPr>
                <w:sz w:val="18"/>
              </w:rPr>
            </w:r>
            <w:r>
              <w:rPr>
                <w:sz w:val="18"/>
              </w:rPr>
              <w:t>Anything discovered rather than known</w:t>
            </w:r>
          </w:p>
        </w:tc>
      </w:tr>
      <w:tr>
        <w:tc>
          <w:tcPr>
            <w:tcW w:type="dxa" w:w="4706"/>
          </w:tcPr>
          <w:p>
            <w:pPr>
              <w:spacing w:after="40"/>
            </w:pPr>
            <w:r>
              <w:rPr>
                <w:sz w:val="18"/>
              </w:rPr>
            </w:r>
            <w:r>
              <w:rPr>
                <w:sz w:val="18"/>
              </w:rPr>
              <w:t>Which credentials are older than 180 days?</w:t>
            </w:r>
          </w:p>
        </w:tc>
        <w:tc>
          <w:tcPr>
            <w:tcW w:type="dxa" w:w="4706"/>
          </w:tcPr>
          <w:p>
            <w:pPr>
              <w:spacing w:after="40"/>
            </w:pPr>
            <w:r>
              <w:rPr>
                <w:sz w:val="18"/>
              </w:rPr>
            </w:r>
            <w:r>
              <w:rPr>
                <w:sz w:val="18"/>
              </w:rPr>
              <w:t>Any, on a production system</w:t>
            </w:r>
          </w:p>
        </w:tc>
      </w:tr>
      <w:tr>
        <w:tc>
          <w:tcPr>
            <w:tcW w:type="dxa" w:w="4706"/>
          </w:tcPr>
          <w:p>
            <w:pPr>
              <w:spacing w:after="40"/>
            </w:pPr>
            <w:r>
              <w:rPr>
                <w:sz w:val="18"/>
              </w:rPr>
            </w:r>
            <w:r>
              <w:rPr>
                <w:sz w:val="18"/>
              </w:rPr>
              <w:t>Which accounts have privileges they have not used in 90 days?</w:t>
            </w:r>
          </w:p>
        </w:tc>
        <w:tc>
          <w:tcPr>
            <w:tcW w:type="dxa" w:w="4706"/>
          </w:tcPr>
          <w:p>
            <w:pPr>
              <w:spacing w:after="40"/>
            </w:pPr>
            <w:r>
              <w:rPr>
                <w:sz w:val="18"/>
              </w:rPr>
            </w:r>
            <w:r>
              <w:rPr>
                <w:sz w:val="18"/>
              </w:rPr>
              <w:t>Standing access nobody exercises is pure attack surface</w:t>
            </w:r>
          </w:p>
        </w:tc>
      </w:tr>
      <w:tr>
        <w:tc>
          <w:tcPr>
            <w:tcW w:type="dxa" w:w="4706"/>
          </w:tcPr>
          <w:p>
            <w:pPr>
              <w:spacing w:after="40"/>
            </w:pPr>
            <w:r>
              <w:rPr>
                <w:sz w:val="18"/>
              </w:rPr>
            </w:r>
            <w:r>
              <w:rPr>
                <w:sz w:val="18"/>
              </w:rPr>
              <w:t>Which cloud configurations drifted from baseline?</w:t>
            </w:r>
          </w:p>
        </w:tc>
        <w:tc>
          <w:tcPr>
            <w:tcW w:type="dxa" w:w="4706"/>
          </w:tcPr>
          <w:p>
            <w:pPr>
              <w:spacing w:after="40"/>
            </w:pPr>
            <w:r>
              <w:rPr>
                <w:sz w:val="18"/>
              </w:rPr>
            </w:r>
            <w:r>
              <w:rPr>
                <w:sz w:val="18"/>
              </w:rPr>
              <w:t>Drift nobody noticed</w:t>
            </w:r>
          </w:p>
        </w:tc>
      </w:tr>
    </w:tbl>
    <w:p>
      <w:pPr>
        <w:spacing w:after="40"/>
      </w:pPr>
    </w:p>
    <w:p>
      <w:pPr>
        <w:pStyle w:val="Heading1"/>
      </w:pPr>
      <w:r>
        <w:t>What is deliberately not measured</w:t>
      </w:r>
    </w:p>
    <w:p>
      <w:pPr>
        <w:pStyle w:val="ListBullet"/>
      </w:pPr>
      <w:r>
        <w:rPr>
          <w:b/>
        </w:rPr>
        <w:t>Attacks blocked.</w:t>
      </w:r>
      <w:r>
        <w:t xml:space="preserve"> Grows with internet background noise and correlates with nothing.</w:t>
      </w:r>
    </w:p>
    <w:p>
      <w:pPr>
        <w:pStyle w:val="ListBullet"/>
      </w:pPr>
      <w:r>
        <w:rPr>
          <w:b/>
        </w:rPr>
        <w:t>Alert volume.</w:t>
      </w:r>
      <w:r>
        <w:t xml:space="preserve"> More alerts is a cost, not a defence.</w:t>
      </w:r>
    </w:p>
    <w:p>
      <w:pPr>
        <w:pStyle w:val="ListBullet"/>
      </w:pPr>
      <w:r>
        <w:rPr>
          <w:b/>
        </w:rPr>
        <w:t>Tools deployed.</w:t>
      </w:r>
      <w:r>
        <w:t xml:space="preserve"> Spend, not posture.</w:t>
      </w:r>
    </w:p>
    <w:p>
      <w:pPr>
        <w:pStyle w:val="ListBullet"/>
      </w:pPr>
      <w:r>
        <w:rPr>
          <w:b/>
        </w:rPr>
        <w:t>Training completion.</w:t>
      </w:r>
      <w:r>
        <w:t xml:space="preserve"> Attendance, not behaviour. Measure phishing-report rate instead, which is</w:t>
      </w:r>
    </w:p>
    <w:p>
      <w:r>
        <w:t>behaviour.</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Continuous</w:t>
            </w:r>
          </w:p>
        </w:tc>
        <w:tc>
          <w:tcPr>
            <w:tcW w:type="dxa" w:w="4706"/>
            <w:shd w:val="clear" w:color="auto" w:fill="F1EAFE"/>
          </w:tcPr>
          <w:p>
            <w:pPr>
              <w:spacing w:after="40"/>
            </w:pPr>
            <w:r>
              <w:rPr>
                <w:b/>
                <w:sz w:val="18"/>
              </w:rPr>
            </w:r>
            <w:r>
              <w:rPr>
                <w:b/>
                <w:sz w:val="18"/>
              </w:rPr>
              <w:t>Detection and scoring</w:t>
            </w:r>
          </w:p>
        </w:tc>
      </w:tr>
      <w:tr>
        <w:tc>
          <w:tcPr>
            <w:tcW w:type="dxa" w:w="4706"/>
          </w:tcPr>
          <w:p>
            <w:pPr>
              <w:spacing w:after="40"/>
            </w:pPr>
            <w:r>
              <w:rPr>
                <w:sz w:val="18"/>
              </w:rPr>
            </w:r>
            <w:r>
              <w:rPr>
                <w:sz w:val="18"/>
              </w:rPr>
              <w:t>Daily</w:t>
            </w:r>
          </w:p>
        </w:tc>
        <w:tc>
          <w:tcPr>
            <w:tcW w:type="dxa" w:w="4706"/>
          </w:tcPr>
          <w:p>
            <w:pPr>
              <w:spacing w:after="40"/>
            </w:pPr>
            <w:r>
              <w:rPr>
                <w:sz w:val="18"/>
              </w:rPr>
            </w:r>
            <w:r>
              <w:rPr>
                <w:sz w:val="18"/>
              </w:rPr>
              <w:t>High-risk events, approval latency, anything closed without investigation</w:t>
            </w:r>
          </w:p>
        </w:tc>
      </w:tr>
      <w:tr>
        <w:tc>
          <w:tcPr>
            <w:tcW w:type="dxa" w:w="4706"/>
          </w:tcPr>
          <w:p>
            <w:pPr>
              <w:spacing w:after="40"/>
            </w:pPr>
            <w:r>
              <w:rPr>
                <w:sz w:val="18"/>
              </w:rPr>
            </w:r>
            <w:r>
              <w:rPr>
                <w:sz w:val="18"/>
              </w:rPr>
              <w:t>Weekly</w:t>
            </w:r>
          </w:p>
        </w:tc>
        <w:tc>
          <w:tcPr>
            <w:tcW w:type="dxa" w:w="4706"/>
          </w:tcPr>
          <w:p>
            <w:pPr>
              <w:spacing w:after="40"/>
            </w:pPr>
            <w:r>
              <w:rPr>
                <w:sz w:val="18"/>
              </w:rPr>
            </w:r>
            <w:r>
              <w:rPr>
                <w:sz w:val="18"/>
              </w:rPr>
              <w:t>Vulnerability ageing, false-positive rate</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Exposure review, coverage reconciliation, open exceptions</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Response allowlist, access review with Data and Analytics, tabletop exercise</w:t>
            </w:r>
          </w:p>
        </w:tc>
      </w:tr>
    </w:tbl>
    <w:p>
      <w:pPr>
        <w:spacing w:after="40"/>
      </w:pPr>
    </w:p>
    <w:p>
      <w:r>
        <w:t>The quarterly tabletop is the only one that tests whether the plan works when people are tired and guessing. A plan that has never been rehearsed is a document, and during an incident it reads like one.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Security: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the KPI set</dc:title>
  <dc:subject/>
  <dc:creator>BvLogic</dc:creator>
  <cp:keywords>BvLogic, Kpi, enterprise AI, Security: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