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Security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BVL-26BAB0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System / release:</w:t>
      </w:r>
      <w:r>
        <w:t xml:space="preserve"> _______________  </w:t>
      </w:r>
      <w:r>
        <w:rPr>
          <w:b/>
        </w:rPr>
        <w:t>Date:</w:t>
      </w:r>
      <w:r>
        <w:t xml:space="preserve"> _______________ </w:t>
      </w:r>
      <w:r>
        <w:rPr>
          <w:b/>
        </w:rPr>
        <w:t>Completed by:</w:t>
      </w:r>
      <w:r>
        <w:t xml:space="preserve"> _______________  </w:t>
      </w:r>
      <w:r>
        <w:rPr>
          <w:b/>
        </w:rPr>
        <w:t>Reviewed by:</w:t>
      </w:r>
      <w:r>
        <w:t xml:space="preserve"> _______________ (not the author)</w:t>
      </w:r>
    </w:p>
    <w:p>
      <w:pPr>
        <w:ind w:left="454"/>
        <w:shd w:val="clear" w:color="auto" w:fill="FAFAFB"/>
      </w:pPr>
      <w:r>
        <w:rPr>
          <w:i/>
        </w:rPr>
        <w:t>Ordered by what actually gets exploited, not by framework section number.</w:t>
      </w:r>
    </w:p>
    <w:p>
      <w:pPr>
        <w:ind w:left="454"/>
        <w:shd w:val="clear" w:color="auto" w:fill="FAFAFB"/>
      </w:pPr>
      <w:r>
        <w:rPr>
          <w:i/>
        </w:rPr>
        <w:t>Mark N/A with a reason, a blank is not an answer.</w:t>
      </w:r>
    </w:p>
    <w:p>
      <w:r>
        <w:t>---</w:t>
      </w:r>
    </w:p>
    <w:p>
      <w:pPr>
        <w:pStyle w:val="Heading1"/>
      </w:pPr>
      <w:r>
        <w:t>1. Identity and access</w:t>
      </w:r>
    </w:p>
    <w:p>
      <w:pPr>
        <w:pStyle w:val="ListBullet"/>
      </w:pPr>
      <w:r>
        <w:t>[ ] Multi-factor authentication enforced for all administrative access</w:t>
      </w:r>
    </w:p>
    <w:p>
      <w:pPr>
        <w:pStyle w:val="ListBullet"/>
      </w:pPr>
      <w:r>
        <w:t>[ ] No shared accounts; every action attributable to a person</w:t>
      </w:r>
    </w:p>
    <w:p>
      <w:pPr>
        <w:pStyle w:val="ListBullet"/>
      </w:pPr>
      <w:r>
        <w:t>[ ] Least privilege applied, reviewed, not assumed</w:t>
      </w:r>
    </w:p>
    <w:p>
      <w:pPr>
        <w:pStyle w:val="ListBullet"/>
      </w:pPr>
      <w:r>
        <w:t>[ ] Service accounts scoped to one purpose, not reused</w:t>
      </w:r>
    </w:p>
    <w:p>
      <w:pPr>
        <w:pStyle w:val="ListBullet"/>
      </w:pPr>
      <w:r>
        <w:t>[ ] Access review completed within the last quarter</w:t>
      </w:r>
    </w:p>
    <w:p>
      <w:pPr>
        <w:pStyle w:val="ListBullet"/>
      </w:pPr>
      <w:r>
        <w:t>[ ] Leaver process removes access same-day</w:t>
      </w:r>
    </w:p>
    <w:p>
      <w:pPr>
        <w:pStyle w:val="ListBullet"/>
      </w:pPr>
      <w:r>
        <w:t>[ ] Default credentials changed everywhere</w:t>
      </w:r>
    </w:p>
    <w:p>
      <w:pPr>
        <w:pStyle w:val="ListBullet"/>
      </w:pPr>
      <w:r>
        <w:t>[ ] Session timeout and invalidation on logout verified</w:t>
      </w:r>
    </w:p>
    <w:p>
      <w:pPr>
        <w:pStyle w:val="Heading1"/>
      </w:pPr>
      <w:r>
        <w:t>2. Secrets</w:t>
      </w:r>
    </w:p>
    <w:p>
      <w:pPr>
        <w:pStyle w:val="ListBullet"/>
      </w:pPr>
      <w:r>
        <w:t>[ ] No credentials, keys or tokens in source control (history checked, not just HEAD)</w:t>
      </w:r>
    </w:p>
    <w:p>
      <w:pPr>
        <w:pStyle w:val="ListBullet"/>
      </w:pPr>
      <w:r>
        <w:t>[ ] Secrets held in a secret store, not environment files committed by accident</w:t>
      </w:r>
    </w:p>
    <w:p>
      <w:pPr>
        <w:pStyle w:val="ListBullet"/>
      </w:pPr>
      <w:r>
        <w:t>[ ] Rotation possible without downtime, and someone knows how</w:t>
      </w:r>
    </w:p>
    <w:p>
      <w:pPr>
        <w:pStyle w:val="ListBullet"/>
      </w:pPr>
      <w:r>
        <w:t>[ ] Secrets not written to logs, error messages or crash dumps</w:t>
      </w:r>
    </w:p>
    <w:p>
      <w:pPr>
        <w:pStyle w:val="Heading1"/>
      </w:pPr>
      <w:r>
        <w:t>3. Data</w:t>
      </w:r>
    </w:p>
    <w:p>
      <w:pPr>
        <w:pStyle w:val="ListBullet"/>
      </w:pPr>
      <w:r>
        <w:t>[ ] Personal data identified and its lawful basis recorded</w:t>
      </w:r>
    </w:p>
    <w:p>
      <w:pPr>
        <w:pStyle w:val="ListBullet"/>
      </w:pPr>
      <w:r>
        <w:t>[ ] Encrypted in transit (TLS 1.2 minimum; 1.3 preferred)</w:t>
      </w:r>
    </w:p>
    <w:p>
      <w:pPr>
        <w:pStyle w:val="ListBullet"/>
      </w:pPr>
      <w:r>
        <w:t>[ ] Encrypted at rest where the platform supports it</w:t>
      </w:r>
    </w:p>
    <w:p>
      <w:pPr>
        <w:pStyle w:val="ListBullet"/>
      </w:pPr>
      <w:r>
        <w:t>[ ] Retention period defined and enforced, not aspirational</w:t>
      </w:r>
    </w:p>
    <w:p>
      <w:pPr>
        <w:pStyle w:val="ListBullet"/>
      </w:pPr>
      <w:r>
        <w:t>[ ] Test environments use masked or synthetic data</w:t>
      </w:r>
    </w:p>
    <w:p>
      <w:pPr>
        <w:pStyle w:val="ListBullet"/>
      </w:pPr>
      <w:r>
        <w:t>[ ] Backups tested by restoring, within the last quarter</w:t>
      </w:r>
    </w:p>
    <w:p>
      <w:pPr>
        <w:pStyle w:val="ListBullet"/>
      </w:pPr>
      <w:r>
        <w:t>[ ] At least one backup copy offline or immutable</w:t>
      </w:r>
    </w:p>
    <w:p>
      <w:pPr>
        <w:pStyle w:val="Heading1"/>
      </w:pPr>
      <w:r>
        <w:t>4. Input and output</w:t>
      </w:r>
    </w:p>
    <w:p>
      <w:pPr>
        <w:pStyle w:val="ListBullet"/>
      </w:pPr>
      <w:r>
        <w:t>[ ] All input validated server-side (client-side validation is UX, not security)</w:t>
      </w:r>
    </w:p>
    <w:p>
      <w:pPr>
        <w:pStyle w:val="ListBullet"/>
      </w:pPr>
      <w:r>
        <w:t>[ ] Parameterised queries throughout, no string-built SQL</w:t>
      </w:r>
    </w:p>
    <w:p>
      <w:pPr>
        <w:pStyle w:val="ListBullet"/>
      </w:pPr>
      <w:r>
        <w:t>[ ] Output encoded for its context</w:t>
      </w:r>
    </w:p>
    <w:p>
      <w:pPr>
        <w:pStyle w:val="ListBullet"/>
      </w:pPr>
      <w:r>
        <w:t>[ ] File uploads: type, size and content checked; stored outside the web root</w:t>
      </w:r>
    </w:p>
    <w:p>
      <w:pPr>
        <w:pStyle w:val="ListBullet"/>
      </w:pPr>
      <w:r>
        <w:t>[ ] Error messages reveal nothing about internals to end users</w:t>
      </w:r>
    </w:p>
    <w:p>
      <w:pPr>
        <w:pStyle w:val="Heading1"/>
      </w:pPr>
      <w:r>
        <w:t>5. Interfaces and dependencies</w:t>
      </w:r>
    </w:p>
    <w:p>
      <w:pPr>
        <w:pStyle w:val="ListBullet"/>
      </w:pPr>
      <w:r>
        <w:t>[ ] Every external interface authenticated and rate-limited</w:t>
      </w:r>
    </w:p>
    <w:p>
      <w:pPr>
        <w:pStyle w:val="ListBullet"/>
      </w:pPr>
      <w:r>
        <w:t>[ ] Dependencies scanned for known vulnerabilities; criticals resolved</w:t>
      </w:r>
    </w:p>
    <w:p>
      <w:pPr>
        <w:pStyle w:val="ListBullet"/>
      </w:pPr>
      <w:r>
        <w:t>[ ] Dependency versions pinned</w:t>
      </w:r>
    </w:p>
    <w:p>
      <w:pPr>
        <w:pStyle w:val="ListBullet"/>
      </w:pPr>
      <w:r>
        <w:t>[ ] Third-party services reviewed for what data they receive</w:t>
      </w:r>
    </w:p>
    <w:p>
      <w:pPr>
        <w:pStyle w:val="ListBullet"/>
      </w:pPr>
      <w:r>
        <w:t>[ ] Unused endpoints, ports and services removed</w:t>
      </w:r>
    </w:p>
    <w:p>
      <w:pPr>
        <w:pStyle w:val="Heading1"/>
      </w:pPr>
      <w:r>
        <w:t>6. Configuration</w:t>
      </w:r>
    </w:p>
    <w:p>
      <w:pPr>
        <w:pStyle w:val="ListBullet"/>
      </w:pPr>
      <w:r>
        <w:t>[ ] Debug modes and verbose errors disabled in production</w:t>
      </w:r>
    </w:p>
    <w:p>
      <w:pPr>
        <w:pStyle w:val="ListBullet"/>
      </w:pPr>
      <w:r>
        <w:t>[ ] Security headers present: HSTS, CSP, X-Content-Type-Options, Referrer-Policy, Permissions-Policy</w:t>
      </w:r>
    </w:p>
    <w:p>
      <w:pPr>
        <w:pStyle w:val="ListBullet"/>
      </w:pPr>
      <w:r>
        <w:t>[ ] Directory listing disabled</w:t>
      </w:r>
    </w:p>
    <w:p>
      <w:pPr>
        <w:pStyle w:val="ListBullet"/>
      </w:pPr>
      <w:r>
        <w:t>[ ] Administrative interfaces not reachable from the public internet, or MFA-gated</w:t>
      </w:r>
    </w:p>
    <w:p>
      <w:pPr>
        <w:pStyle w:val="ListBullet"/>
      </w:pPr>
      <w:r>
        <w:t>[ ] Non-existent pages return a real 404, not a soft 200</w:t>
      </w:r>
    </w:p>
    <w:p>
      <w:pPr>
        <w:pStyle w:val="Heading1"/>
      </w:pPr>
      <w:r>
        <w:t>7. Logging and detection</w:t>
      </w:r>
    </w:p>
    <w:p>
      <w:pPr>
        <w:pStyle w:val="ListBullet"/>
      </w:pPr>
      <w:r>
        <w:t>[ ] Authentication successes and failures logged</w:t>
      </w:r>
    </w:p>
    <w:p>
      <w:pPr>
        <w:pStyle w:val="ListBullet"/>
      </w:pPr>
      <w:r>
        <w:t>[ ] Privileged actions logged with actor, time and before/after</w:t>
      </w:r>
    </w:p>
    <w:p>
      <w:pPr>
        <w:pStyle w:val="ListBullet"/>
      </w:pPr>
      <w:r>
        <w:t>[ ] Logs stored where an attacker with system access cannot edit them</w:t>
      </w:r>
    </w:p>
    <w:p>
      <w:pPr>
        <w:pStyle w:val="ListBullet"/>
      </w:pPr>
      <w:r>
        <w:t>[ ] Logs contain no passwords, tokens or full personal records</w:t>
      </w:r>
    </w:p>
    <w:p>
      <w:pPr>
        <w:pStyle w:val="ListBullet"/>
      </w:pPr>
      <w:r>
        <w:t>[ ] Someone is responsible for looking at them</w:t>
      </w:r>
    </w:p>
    <w:p>
      <w:pPr>
        <w:pStyle w:val="Heading1"/>
      </w:pPr>
      <w:r>
        <w:t>8. AI-specific surface</w:t>
      </w:r>
    </w:p>
    <w:p>
      <w:pPr>
        <w:ind w:left="454"/>
        <w:shd w:val="clear" w:color="auto" w:fill="FAFAFB"/>
      </w:pPr>
      <w:r>
        <w:rPr>
          <w:i/>
        </w:rPr>
        <w:t>Complete this section if any component uses a language model.</w:t>
      </w:r>
    </w:p>
    <w:p>
      <w:pPr>
        <w:ind w:left="454"/>
        <w:shd w:val="clear" w:color="auto" w:fill="FAFAFB"/>
      </w:pPr>
      <w:r>
        <w:rPr>
          <w:i/>
        </w:rPr>
        <w:t>Aligned to the OWASP Top 10 for LLM Applications (2025) and the OWASP Top 10 for</w:t>
      </w:r>
    </w:p>
    <w:p>
      <w:pPr>
        <w:ind w:left="454"/>
        <w:shd w:val="clear" w:color="auto" w:fill="FAFAFB"/>
      </w:pPr>
      <w:r>
        <w:rPr>
          <w:i/>
        </w:rPr>
        <w:t>Agentic Applications (2026).</w:t>
      </w:r>
    </w:p>
    <w:p>
      <w:r>
        <w:rPr>
          <w:b/>
        </w:rPr>
        <w:t>Model layer</w:t>
      </w:r>
    </w:p>
    <w:p>
      <w:pPr>
        <w:pStyle w:val="ListBullet"/>
      </w:pPr>
      <w:r>
        <w:t>[ ] Prompt injection considered: what happens if retrieved or user content contains instructions?</w:t>
      </w:r>
    </w:p>
    <w:p>
      <w:pPr>
        <w:pStyle w:val="ListBullet"/>
      </w:pPr>
      <w:r>
        <w:t>[ ] Untrusted content clearly delimited and never concatenated into the instruction block</w:t>
      </w:r>
    </w:p>
    <w:p>
      <w:pPr>
        <w:pStyle w:val="ListBullet"/>
      </w:pPr>
      <w:r>
        <w:t>[ ] System prompt treated as non-secret, assume it can be extracted</w:t>
      </w:r>
    </w:p>
    <w:p>
      <w:pPr>
        <w:pStyle w:val="ListBullet"/>
      </w:pPr>
      <w:r>
        <w:t>[ ] Output validated before it reaches another system, a database or a user</w:t>
      </w:r>
    </w:p>
    <w:p>
      <w:pPr>
        <w:pStyle w:val="ListBullet"/>
      </w:pPr>
      <w:r>
        <w:t>[ ] Model and prompt versions pinned and recorded</w:t>
      </w:r>
    </w:p>
    <w:p>
      <w:pPr>
        <w:pStyle w:val="ListBullet"/>
      </w:pPr>
      <w:r>
        <w:t>[ ] Model supply chain reviewed: where the model and any third-party components come from</w:t>
      </w:r>
    </w:p>
    <w:p>
      <w:pPr>
        <w:pStyle w:val="ListBullet"/>
      </w:pPr>
      <w:r>
        <w:t>[ ] Sensitive information cannot be echoed back: outputs screened for credentials and personal data</w:t>
      </w:r>
    </w:p>
    <w:p>
      <w:r>
        <w:rPr>
          <w:b/>
        </w:rPr>
        <w:t>Agent layer</w:t>
      </w:r>
      <w:r>
        <w:t xml:space="preserve"> (complete if the system takes actions, not just produces text)</w:t>
      </w:r>
    </w:p>
    <w:p>
      <w:pPr>
        <w:pStyle w:val="ListBullet"/>
      </w:pPr>
      <w:r>
        <w:t>[ ] Tools are narrow and specific, not general-purpose (</w:t>
      </w:r>
      <w:r>
        <w:rPr>
          <w:rFonts w:ascii="Consolas" w:hAnsi="Consolas"/>
          <w:sz w:val="19"/>
        </w:rPr>
        <w:t>get_customer_orders</w:t>
      </w:r>
      <w:r>
        <w:t xml:space="preserve">, not </w:t>
      </w:r>
      <w:r>
        <w:rPr>
          <w:rFonts w:ascii="Consolas" w:hAnsi="Consolas"/>
          <w:sz w:val="19"/>
        </w:rPr>
        <w:t>run_query</w:t>
      </w:r>
      <w:r>
        <w:t>)</w:t>
      </w:r>
    </w:p>
    <w:p>
      <w:pPr>
        <w:pStyle w:val="ListBullet"/>
      </w:pPr>
      <w:r>
        <w:t>[ ] Model cannot reach systems beyond its declared tools</w:t>
      </w:r>
    </w:p>
    <w:p>
      <w:pPr>
        <w:pStyle w:val="ListBullet"/>
      </w:pPr>
      <w:r>
        <w:t>[ ] Any destructive, financial or outbound action requires human approval</w:t>
      </w:r>
    </w:p>
    <w:p>
      <w:pPr>
        <w:pStyle w:val="ListBullet"/>
      </w:pPr>
      <w:r>
        <w:t>[ ] Runs with the requesting user's permissions, not an admin service account</w:t>
      </w:r>
    </w:p>
    <w:p>
      <w:pPr>
        <w:pStyle w:val="ListBullet"/>
      </w:pPr>
      <w:r>
        <w:t>[ ] No single component holds both broad read access and broad write access</w:t>
      </w:r>
    </w:p>
    <w:p>
      <w:pPr>
        <w:pStyle w:val="ListBullet"/>
      </w:pPr>
      <w:r>
        <w:t>[ ] Step, time and spend caps enforced per task</w:t>
      </w:r>
    </w:p>
    <w:p>
      <w:pPr>
        <w:pStyle w:val="ListBullet"/>
      </w:pPr>
      <w:r>
        <w:t>[ ] Stored memory and context can be inspected and cleared, poisoned context persists silently</w:t>
      </w:r>
    </w:p>
    <w:p>
      <w:pPr>
        <w:pStyle w:val="ListBullet"/>
      </w:pPr>
      <w:r>
        <w:t>[ ] Every tool call logged with actor, arguments and result</w:t>
      </w:r>
    </w:p>
    <w:p>
      <w:r>
        <w:rPr>
          <w:b/>
        </w:rPr>
        <w:t>Governance</w:t>
      </w:r>
    </w:p>
    <w:p>
      <w:pPr>
        <w:pStyle w:val="ListBullet"/>
      </w:pPr>
      <w:r>
        <w:t>[ ] Named owner accountable for the system's behaviour, and a person who can switch it off</w:t>
      </w:r>
    </w:p>
    <w:p>
      <w:pPr>
        <w:pStyle w:val="ListBullet"/>
      </w:pPr>
      <w:r>
        <w:t>[ ] Model inputs and outputs retained for audit, for a defined period</w:t>
      </w:r>
    </w:p>
    <w:p>
      <w:pPr>
        <w:pStyle w:val="ListBullet"/>
      </w:pPr>
      <w:r>
        <w:t xml:space="preserve">[ ] </w:t>
      </w:r>
      <w:r>
        <w:rPr>
          <w:b/>
        </w:rPr>
        <w:t>EU AI Act Art. 50 transparency</w:t>
      </w:r>
      <w:r>
        <w:t xml:space="preserve"> (in force since 2 Aug 2026): users are told they are</w:t>
      </w:r>
    </w:p>
    <w:p>
      <w:r>
        <w:t>interacting with an AI system; generated content is labelled</w:t>
      </w:r>
    </w:p>
    <w:p>
      <w:pPr>
        <w:pStyle w:val="ListBullet"/>
      </w:pPr>
      <w:r>
        <w:t xml:space="preserve">[ ] Assessed whether the system falls in a </w:t>
      </w:r>
      <w:r>
        <w:rPr>
          <w:b/>
        </w:rPr>
        <w:t>high-risk</w:t>
      </w:r>
      <w:r>
        <w:t xml:space="preserve"> category (employment, credit, insurance,</w:t>
      </w:r>
    </w:p>
    <w:p>
      <w:r>
        <w:t>education, critical infrastructure, biometrics), obligations deferred to 2 Dec 2027 for Annex III, 2 Aug 2028 for Annex I, but the assessment should be done now</w:t>
      </w:r>
    </w:p>
    <w:p>
      <w:pPr>
        <w:pStyle w:val="ListBullet"/>
      </w:pPr>
      <w:r>
        <w:t>[ ] Staff have an approved AI tool whose terms exclude training on your data</w:t>
      </w:r>
    </w:p>
    <w:p>
      <w:pPr>
        <w:pStyle w:val="Heading1"/>
      </w:pPr>
      <w:r>
        <w:t>9. Incident readiness</w:t>
      </w:r>
    </w:p>
    <w:p>
      <w:pPr>
        <w:pStyle w:val="ListBullet"/>
      </w:pPr>
      <w:r>
        <w:t>[ ] Named incident decision-maker with authority to disconnect systems</w:t>
      </w:r>
    </w:p>
    <w:p>
      <w:pPr>
        <w:pStyle w:val="ListBullet"/>
      </w:pPr>
      <w:r>
        <w:t>[ ] Contact list stored somewhere that does not depend on these systems</w:t>
      </w:r>
    </w:p>
    <w:p>
      <w:pPr>
        <w:pStyle w:val="ListBullet"/>
      </w:pPr>
      <w:r>
        <w:t>[ ] Regulatory notification window known</w:t>
      </w:r>
    </w:p>
    <w:p>
      <w:pPr>
        <w:pStyle w:val="ListBullet"/>
      </w:pPr>
      <w:r>
        <w:t>[ ] Rollback tested, not assumed</w:t>
      </w:r>
    </w:p>
    <w:p>
      <w:r>
        <w:t>---</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Completed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Accepted risks approved by</w:t>
            </w:r>
          </w:p>
        </w:tc>
        <w:tc>
          <w:tcPr>
            <w:tcW w:type="dxa" w:w="3137"/>
          </w:tcPr>
          <w:p>
            <w:pPr>
              <w:spacing w:after="40"/>
            </w:pPr>
            <w:r>
              <w:rPr>
                <w:sz w:val="18"/>
              </w:rPr>
            </w:r>
          </w:p>
        </w:tc>
        <w:tc>
          <w:tcPr>
            <w:tcW w:type="dxa" w:w="3137"/>
          </w:tcPr>
          <w:p>
            <w:pPr>
              <w:spacing w:after="40"/>
            </w:pPr>
            <w:r>
              <w:rPr>
                <w:sz w:val="18"/>
              </w:rPr>
            </w:r>
          </w:p>
        </w:tc>
      </w:tr>
    </w:tbl>
    <w:p>
      <w:pPr>
        <w:spacing w:after="40"/>
      </w:pPr>
    </w:p>
    <w:p>
      <w:r>
        <w:rPr>
          <w:b/>
        </w:rPr>
        <w:t>Accepted risks:</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w:t>
            </w:r>
          </w:p>
        </w:tc>
        <w:tc>
          <w:tcPr>
            <w:tcW w:type="dxa" w:w="1882"/>
            <w:shd w:val="clear" w:color="auto" w:fill="F1EAFE"/>
          </w:tcPr>
          <w:p>
            <w:pPr>
              <w:spacing w:after="40"/>
            </w:pPr>
            <w:r>
              <w:rPr>
                <w:b/>
                <w:sz w:val="18"/>
              </w:rPr>
            </w:r>
            <w:r>
              <w:rPr>
                <w:b/>
                <w:sz w:val="18"/>
              </w:rPr>
              <w:t>Item not met</w:t>
            </w:r>
          </w:p>
        </w:tc>
        <w:tc>
          <w:tcPr>
            <w:tcW w:type="dxa" w:w="1882"/>
            <w:shd w:val="clear" w:color="auto" w:fill="F1EAFE"/>
          </w:tcPr>
          <w:p>
            <w:pPr>
              <w:spacing w:after="40"/>
            </w:pPr>
            <w:r>
              <w:rPr>
                <w:b/>
                <w:sz w:val="18"/>
              </w:rPr>
            </w:r>
            <w:r>
              <w:rPr>
                <w:b/>
                <w:sz w:val="18"/>
              </w:rPr>
              <w:t>Why accepted</w:t>
            </w:r>
          </w:p>
        </w:tc>
        <w:tc>
          <w:tcPr>
            <w:tcW w:type="dxa" w:w="1882"/>
            <w:shd w:val="clear" w:color="auto" w:fill="F1EAFE"/>
          </w:tcPr>
          <w:p>
            <w:pPr>
              <w:spacing w:after="40"/>
            </w:pPr>
            <w:r>
              <w:rPr>
                <w:b/>
                <w:sz w:val="18"/>
              </w:rPr>
            </w:r>
            <w:r>
              <w:rPr>
                <w:b/>
                <w:sz w:val="18"/>
              </w:rPr>
              <w:t>Accepted by</w:t>
            </w:r>
          </w:p>
        </w:tc>
        <w:tc>
          <w:tcPr>
            <w:tcW w:type="dxa" w:w="1882"/>
            <w:shd w:val="clear" w:color="auto" w:fill="F1EAFE"/>
          </w:tcPr>
          <w:p>
            <w:pPr>
              <w:spacing w:after="40"/>
            </w:pPr>
            <w:r>
              <w:rPr>
                <w:b/>
                <w:sz w:val="18"/>
              </w:rPr>
            </w:r>
            <w:r>
              <w:rPr>
                <w:b/>
                <w:sz w:val="18"/>
              </w:rPr>
              <w:t>Revisit by</w:t>
            </w:r>
          </w:p>
        </w:tc>
      </w:tr>
    </w:tbl>
    <w:p>
      <w:pPr>
        <w:spacing w:after="40"/>
      </w:pPr>
    </w:p>
    <w:p>
      <w:r>
        <w:t>---</w:t>
      </w:r>
    </w:p>
    <w:p>
      <w:pPr>
        <w:pStyle w:val="Heading1"/>
      </w:pPr>
      <w:r>
        <w:t>Standards this is based on</w:t>
      </w:r>
    </w:p>
    <w:p>
      <w:r>
        <w:t>Checked 2026-08-04. Re-verify before relying on any date below.</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Reference</w:t>
            </w:r>
          </w:p>
        </w:tc>
        <w:tc>
          <w:tcPr>
            <w:tcW w:type="dxa" w:w="4706"/>
            <w:shd w:val="clear" w:color="auto" w:fill="F1EAFE"/>
          </w:tcPr>
          <w:p>
            <w:pPr>
              <w:spacing w:after="40"/>
            </w:pPr>
            <w:r>
              <w:rPr>
                <w:b/>
                <w:sz w:val="18"/>
              </w:rPr>
            </w:r>
            <w:r>
              <w:rPr>
                <w:b/>
                <w:sz w:val="18"/>
              </w:rPr>
              <w:t>Status</w:t>
            </w:r>
          </w:p>
        </w:tc>
      </w:tr>
      <w:tr>
        <w:tc>
          <w:tcPr>
            <w:tcW w:type="dxa" w:w="4706"/>
          </w:tcPr>
          <w:p>
            <w:pPr>
              <w:spacing w:after="40"/>
            </w:pPr>
            <w:r>
              <w:rPr>
                <w:sz w:val="18"/>
              </w:rPr>
            </w:r>
            <w:r>
              <w:rPr>
                <w:sz w:val="18"/>
              </w:rPr>
              <w:t>ISO/IEC 27001:2022 Annex A</w:t>
            </w:r>
          </w:p>
        </w:tc>
        <w:tc>
          <w:tcPr>
            <w:tcW w:type="dxa" w:w="4706"/>
          </w:tcPr>
          <w:p>
            <w:pPr>
              <w:spacing w:after="40"/>
            </w:pPr>
            <w:r>
              <w:rPr>
                <w:sz w:val="18"/>
              </w:rPr>
            </w:r>
            <w:r>
              <w:rPr>
                <w:sz w:val="18"/>
              </w:rPr>
              <w:t>Current</w:t>
            </w:r>
          </w:p>
        </w:tc>
      </w:tr>
      <w:tr>
        <w:tc>
          <w:tcPr>
            <w:tcW w:type="dxa" w:w="4706"/>
          </w:tcPr>
          <w:p>
            <w:pPr>
              <w:spacing w:after="40"/>
            </w:pPr>
            <w:r>
              <w:rPr>
                <w:sz w:val="18"/>
              </w:rPr>
            </w:r>
            <w:r>
              <w:rPr>
                <w:sz w:val="18"/>
              </w:rPr>
              <w:t>NIST Cybersecurity Framework 2.0</w:t>
            </w:r>
          </w:p>
        </w:tc>
        <w:tc>
          <w:tcPr>
            <w:tcW w:type="dxa" w:w="4706"/>
          </w:tcPr>
          <w:p>
            <w:pPr>
              <w:spacing w:after="40"/>
            </w:pPr>
            <w:r>
              <w:rPr>
                <w:sz w:val="18"/>
              </w:rPr>
            </w:r>
            <w:r>
              <w:rPr>
                <w:sz w:val="18"/>
              </w:rPr>
              <w:t>Current</w:t>
            </w:r>
          </w:p>
        </w:tc>
      </w:tr>
      <w:tr>
        <w:tc>
          <w:tcPr>
            <w:tcW w:type="dxa" w:w="4706"/>
          </w:tcPr>
          <w:p>
            <w:pPr>
              <w:spacing w:after="40"/>
            </w:pPr>
            <w:r>
              <w:rPr>
                <w:sz w:val="18"/>
              </w:rPr>
            </w:r>
            <w:r>
              <w:rPr>
                <w:sz w:val="18"/>
              </w:rPr>
              <w:t>OWASP Top 10 for LLM Applications</w:t>
            </w:r>
          </w:p>
        </w:tc>
        <w:tc>
          <w:tcPr>
            <w:tcW w:type="dxa" w:w="4706"/>
          </w:tcPr>
          <w:p>
            <w:pPr>
              <w:spacing w:after="40"/>
            </w:pPr>
            <w:r>
              <w:rPr>
                <w:sz w:val="18"/>
              </w:rPr>
            </w:r>
            <w:r>
              <w:rPr>
                <w:sz w:val="18"/>
              </w:rPr>
              <w:t>2025 edition</w:t>
            </w:r>
          </w:p>
        </w:tc>
      </w:tr>
      <w:tr>
        <w:tc>
          <w:tcPr>
            <w:tcW w:type="dxa" w:w="4706"/>
          </w:tcPr>
          <w:p>
            <w:pPr>
              <w:spacing w:after="40"/>
            </w:pPr>
            <w:r>
              <w:rPr>
                <w:sz w:val="18"/>
              </w:rPr>
            </w:r>
            <w:r>
              <w:rPr>
                <w:sz w:val="18"/>
              </w:rPr>
              <w:t>OWASP Top 10 for Agentic Applications</w:t>
            </w:r>
          </w:p>
        </w:tc>
        <w:tc>
          <w:tcPr>
            <w:tcW w:type="dxa" w:w="4706"/>
          </w:tcPr>
          <w:p>
            <w:pPr>
              <w:spacing w:after="40"/>
            </w:pPr>
            <w:r>
              <w:rPr>
                <w:sz w:val="18"/>
              </w:rPr>
            </w:r>
            <w:r>
              <w:rPr>
                <w:sz w:val="18"/>
              </w:rPr>
              <w:t>2026 edition, published Dec 2025</w:t>
            </w:r>
          </w:p>
        </w:tc>
      </w:tr>
      <w:tr>
        <w:tc>
          <w:tcPr>
            <w:tcW w:type="dxa" w:w="4706"/>
          </w:tcPr>
          <w:p>
            <w:pPr>
              <w:spacing w:after="40"/>
            </w:pPr>
            <w:r>
              <w:rPr>
                <w:sz w:val="18"/>
              </w:rPr>
            </w:r>
            <w:r>
              <w:rPr>
                <w:sz w:val="18"/>
              </w:rPr>
              <w:t>EU AI Act Art. 50 (transparency)</w:t>
            </w:r>
          </w:p>
        </w:tc>
        <w:tc>
          <w:tcPr>
            <w:tcW w:type="dxa" w:w="4706"/>
          </w:tcPr>
          <w:p>
            <w:pPr>
              <w:spacing w:after="40"/>
            </w:pPr>
            <w:r>
              <w:rPr>
                <w:sz w:val="18"/>
              </w:rPr>
            </w:r>
            <w:r>
              <w:rPr>
                <w:b/>
                <w:sz w:val="18"/>
              </w:rPr>
              <w:t>Applies from 2 Aug 2026</w:t>
            </w:r>
          </w:p>
        </w:tc>
      </w:tr>
      <w:tr>
        <w:tc>
          <w:tcPr>
            <w:tcW w:type="dxa" w:w="4706"/>
          </w:tcPr>
          <w:p>
            <w:pPr>
              <w:spacing w:after="40"/>
            </w:pPr>
            <w:r>
              <w:rPr>
                <w:sz w:val="18"/>
              </w:rPr>
            </w:r>
            <w:r>
              <w:rPr>
                <w:sz w:val="18"/>
              </w:rPr>
              <w:t>EU AI Act high-risk (Annex III)</w:t>
            </w:r>
          </w:p>
        </w:tc>
        <w:tc>
          <w:tcPr>
            <w:tcW w:type="dxa" w:w="4706"/>
          </w:tcPr>
          <w:p>
            <w:pPr>
              <w:spacing w:after="40"/>
            </w:pPr>
            <w:r>
              <w:rPr>
                <w:sz w:val="18"/>
              </w:rPr>
            </w:r>
            <w:r>
              <w:rPr>
                <w:sz w:val="18"/>
              </w:rPr>
              <w:t>Deferred to 2 Dec 2027 by the Digital Omnibus, approved 29 Jun 2026</w:t>
            </w:r>
          </w:p>
        </w:tc>
      </w:tr>
      <w:tr>
        <w:tc>
          <w:tcPr>
            <w:tcW w:type="dxa" w:w="4706"/>
          </w:tcPr>
          <w:p>
            <w:pPr>
              <w:spacing w:after="40"/>
            </w:pPr>
            <w:r>
              <w:rPr>
                <w:sz w:val="18"/>
              </w:rPr>
            </w:r>
            <w:r>
              <w:rPr>
                <w:sz w:val="18"/>
              </w:rPr>
              <w:t>EU AI Act high-risk (Annex I, product-embedded)</w:t>
            </w:r>
          </w:p>
        </w:tc>
        <w:tc>
          <w:tcPr>
            <w:tcW w:type="dxa" w:w="4706"/>
          </w:tcPr>
          <w:p>
            <w:pPr>
              <w:spacing w:after="40"/>
            </w:pPr>
            <w:r>
              <w:rPr>
                <w:sz w:val="18"/>
              </w:rPr>
            </w:r>
            <w:r>
              <w:rPr>
                <w:sz w:val="18"/>
              </w:rPr>
              <w:t>Deferred to 2 Aug 2028</w:t>
            </w:r>
          </w:p>
        </w:tc>
      </w:tr>
      <w:tr>
        <w:tc>
          <w:tcPr>
            <w:tcW w:type="dxa" w:w="4706"/>
          </w:tcPr>
          <w:p>
            <w:pPr>
              <w:spacing w:after="40"/>
            </w:pPr>
            <w:r>
              <w:rPr>
                <w:sz w:val="18"/>
              </w:rPr>
            </w:r>
            <w:r>
              <w:rPr>
                <w:sz w:val="18"/>
              </w:rPr>
              <w:t>ISO/IEC 42001:2023 (AI management systems)</w:t>
            </w:r>
          </w:p>
        </w:tc>
        <w:tc>
          <w:tcPr>
            <w:tcW w:type="dxa" w:w="4706"/>
          </w:tcPr>
          <w:p>
            <w:pPr>
              <w:spacing w:after="40"/>
            </w:pPr>
            <w:r>
              <w:rPr>
                <w:sz w:val="18"/>
              </w:rPr>
            </w:r>
            <w:r>
              <w:rPr>
                <w:sz w:val="18"/>
              </w:rPr>
              <w:t>Current; increasingly requested in procurement</w:t>
            </w:r>
          </w:p>
        </w:tc>
      </w:tr>
    </w:tbl>
    <w:p>
      <w:pPr>
        <w:spacing w:after="40"/>
      </w:pPr>
    </w:p>
    <w:p>
      <w:r>
        <w:t>This checklist is a working aid, not a compliance certification, and not legal advice. Obligations depend on your role and jurisdiction.</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Security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Checklist</dc:title>
  <dc:subject/>
  <dc:creator>BvLogic</dc:creator>
  <cp:keywords>BvLogic, Checklist, enterprise AI, Security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