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Sales: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BVL-61A10F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Marketing</w:t>
            </w:r>
          </w:p>
        </w:tc>
        <w:tc>
          <w:tcPr>
            <w:tcW w:type="dxa" w:w="3137"/>
          </w:tcPr>
          <w:p>
            <w:pPr>
              <w:spacing w:after="40"/>
            </w:pPr>
            <w:r>
              <w:rPr>
                <w:sz w:val="18"/>
              </w:rPr>
            </w:r>
            <w:r>
              <w:rPr>
                <w:sz w:val="18"/>
              </w:rPr>
              <w:t>Inbound interest, content engagement</w:t>
            </w:r>
          </w:p>
        </w:tc>
        <w:tc>
          <w:tcPr>
            <w:tcW w:type="dxa" w:w="3137"/>
          </w:tcPr>
          <w:p>
            <w:pPr>
              <w:spacing w:after="40"/>
            </w:pPr>
            <w:r>
              <w:rPr>
                <w:sz w:val="18"/>
              </w:rPr>
            </w:r>
            <w:r>
              <w:rPr>
                <w:sz w:val="18"/>
              </w:rPr>
              <w:t>A warm candidate, which converts far better than a cold one</w:t>
            </w:r>
          </w:p>
        </w:tc>
      </w:tr>
      <w:tr>
        <w:tc>
          <w:tcPr>
            <w:tcW w:type="dxa" w:w="3137"/>
          </w:tcPr>
          <w:p>
            <w:pPr>
              <w:spacing w:after="40"/>
            </w:pPr>
            <w:r>
              <w:rPr>
                <w:sz w:val="18"/>
              </w:rPr>
            </w:r>
            <w:r>
              <w:rPr>
                <w:sz w:val="18"/>
              </w:rPr>
              <w:t>The profile</w:t>
            </w:r>
          </w:p>
        </w:tc>
        <w:tc>
          <w:tcPr>
            <w:tcW w:type="dxa" w:w="3137"/>
          </w:tcPr>
          <w:p>
            <w:pPr>
              <w:spacing w:after="40"/>
            </w:pPr>
            <w:r>
              <w:rPr>
                <w:sz w:val="18"/>
              </w:rPr>
            </w:r>
            <w:r>
              <w:rPr>
                <w:sz w:val="18"/>
              </w:rPr>
              <w:t>Matched companies</w:t>
            </w:r>
          </w:p>
        </w:tc>
        <w:tc>
          <w:tcPr>
            <w:tcW w:type="dxa" w:w="3137"/>
          </w:tcPr>
          <w:p>
            <w:pPr>
              <w:spacing w:after="40"/>
            </w:pPr>
            <w:r>
              <w:rPr>
                <w:sz w:val="18"/>
              </w:rPr>
            </w:r>
            <w:r>
              <w:rPr>
                <w:sz w:val="18"/>
              </w:rPr>
              <w:t>Cold candidates, scored</w:t>
            </w:r>
          </w:p>
        </w:tc>
      </w:tr>
      <w:tr>
        <w:tc>
          <w:tcPr>
            <w:tcW w:type="dxa" w:w="3137"/>
          </w:tcPr>
          <w:p>
            <w:pPr>
              <w:spacing w:after="40"/>
            </w:pPr>
            <w:r>
              <w:rPr>
                <w:sz w:val="18"/>
              </w:rPr>
            </w:r>
            <w:r>
              <w:rPr>
                <w:sz w:val="18"/>
              </w:rPr>
              <w:t>Customer Success</w:t>
            </w:r>
          </w:p>
        </w:tc>
        <w:tc>
          <w:tcPr>
            <w:tcW w:type="dxa" w:w="3137"/>
          </w:tcPr>
          <w:p>
            <w:pPr>
              <w:spacing w:after="40"/>
            </w:pPr>
            <w:r>
              <w:rPr>
                <w:sz w:val="18"/>
              </w:rPr>
            </w:r>
            <w:r>
              <w:rPr>
                <w:sz w:val="18"/>
              </w:rPr>
              <w:t>Expansion signals in existing accounts</w:t>
            </w:r>
          </w:p>
        </w:tc>
        <w:tc>
          <w:tcPr>
            <w:tcW w:type="dxa" w:w="3137"/>
          </w:tcPr>
          <w:p>
            <w:pPr>
              <w:spacing w:after="40"/>
            </w:pPr>
            <w:r>
              <w:rPr>
                <w:sz w:val="18"/>
              </w:rPr>
            </w:r>
            <w:r>
              <w:rPr>
                <w:sz w:val="18"/>
              </w:rPr>
              <w:t>The cheapest pipeline available and the most often ignored</w:t>
            </w:r>
          </w:p>
        </w:tc>
      </w:tr>
      <w:tr>
        <w:tc>
          <w:tcPr>
            <w:tcW w:type="dxa" w:w="3137"/>
          </w:tcPr>
          <w:p>
            <w:pPr>
              <w:spacing w:after="40"/>
            </w:pPr>
            <w:r>
              <w:rPr>
                <w:sz w:val="18"/>
              </w:rPr>
            </w:r>
            <w:r>
              <w:rPr>
                <w:sz w:val="18"/>
              </w:rPr>
              <w:t>Delivery</w:t>
            </w:r>
          </w:p>
        </w:tc>
        <w:tc>
          <w:tcPr>
            <w:tcW w:type="dxa" w:w="3137"/>
          </w:tcPr>
          <w:p>
            <w:pPr>
              <w:spacing w:after="40"/>
            </w:pPr>
            <w:r>
              <w:rPr>
                <w:sz w:val="18"/>
              </w:rPr>
            </w:r>
            <w:r>
              <w:rPr>
                <w:sz w:val="18"/>
              </w:rPr>
              <w:t>What we can actually do, now</w:t>
            </w:r>
          </w:p>
        </w:tc>
        <w:tc>
          <w:tcPr>
            <w:tcW w:type="dxa" w:w="3137"/>
          </w:tcPr>
          <w:p>
            <w:pPr>
              <w:spacing w:after="40"/>
            </w:pPr>
            <w:r>
              <w:rPr>
                <w:sz w:val="18"/>
              </w:rPr>
            </w:r>
            <w:r>
              <w:rPr>
                <w:sz w:val="18"/>
              </w:rPr>
              <w:t>The constraint every proposal is checked against</w:t>
            </w:r>
          </w:p>
        </w:tc>
      </w:tr>
      <w:tr>
        <w:tc>
          <w:tcPr>
            <w:tcW w:type="dxa" w:w="3137"/>
          </w:tcPr>
          <w:p>
            <w:pPr>
              <w:spacing w:after="40"/>
            </w:pPr>
            <w:r>
              <w:rPr>
                <w:sz w:val="18"/>
              </w:rPr>
            </w:r>
            <w:r>
              <w:rPr>
                <w:sz w:val="18"/>
              </w:rPr>
              <w:t>Finance</w:t>
            </w:r>
          </w:p>
        </w:tc>
        <w:tc>
          <w:tcPr>
            <w:tcW w:type="dxa" w:w="3137"/>
          </w:tcPr>
          <w:p>
            <w:pPr>
              <w:spacing w:after="40"/>
            </w:pPr>
            <w:r>
              <w:rPr>
                <w:sz w:val="18"/>
              </w:rPr>
            </w:r>
            <w:r>
              <w:rPr>
                <w:sz w:val="18"/>
              </w:rPr>
              <w:t>Pricing and discount authority</w:t>
            </w:r>
          </w:p>
        </w:tc>
        <w:tc>
          <w:tcPr>
            <w:tcW w:type="dxa" w:w="3137"/>
          </w:tcPr>
          <w:p>
            <w:pPr>
              <w:spacing w:after="40"/>
            </w:pPr>
            <w:r>
              <w:rPr>
                <w:sz w:val="18"/>
              </w:rPr>
            </w:r>
            <w:r>
              <w:rPr>
                <w:sz w:val="18"/>
              </w:rPr>
              <w:t>The band inside which a seller can move</w:t>
            </w:r>
          </w:p>
        </w:tc>
      </w:tr>
    </w:tbl>
    <w:p>
      <w:pPr>
        <w:spacing w:after="40"/>
      </w:pPr>
    </w:p>
    <w:p>
      <w:r>
        <w:rPr>
          <w:b/>
        </w:rPr>
        <w:t>Expansion signals from existing customers are the cheapest pipeline in the company</w:t>
      </w:r>
      <w:r>
        <w:t xml:space="preserve"> and are routinely neglected in favour of new logos, which are more exciting and several times more expensive.</w:t>
      </w: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Delivery and PMO</w:t>
            </w:r>
          </w:p>
        </w:tc>
        <w:tc>
          <w:tcPr>
            <w:tcW w:type="dxa" w:w="4706"/>
          </w:tcPr>
          <w:p>
            <w:pPr>
              <w:spacing w:after="40"/>
            </w:pPr>
            <w:r>
              <w:rPr>
                <w:sz w:val="18"/>
              </w:rPr>
            </w:r>
            <w:r>
              <w:rPr>
                <w:sz w:val="18"/>
              </w:rPr>
              <w:t>A won deal, with the scope as actually sold and the commitments made verbally</w:t>
            </w:r>
          </w:p>
        </w:tc>
      </w:tr>
      <w:tr>
        <w:tc>
          <w:tcPr>
            <w:tcW w:type="dxa" w:w="4706"/>
          </w:tcPr>
          <w:p>
            <w:pPr>
              <w:spacing w:after="40"/>
            </w:pPr>
            <w:r>
              <w:rPr>
                <w:sz w:val="18"/>
              </w:rPr>
            </w:r>
            <w:r>
              <w:rPr>
                <w:sz w:val="18"/>
              </w:rPr>
              <w:t>Finance</w:t>
            </w:r>
          </w:p>
        </w:tc>
        <w:tc>
          <w:tcPr>
            <w:tcW w:type="dxa" w:w="4706"/>
          </w:tcPr>
          <w:p>
            <w:pPr>
              <w:spacing w:after="40"/>
            </w:pPr>
            <w:r>
              <w:rPr>
                <w:sz w:val="18"/>
              </w:rPr>
            </w:r>
            <w:r>
              <w:rPr>
                <w:sz w:val="18"/>
              </w:rPr>
              <w:t>Forecast, and signed value</w:t>
            </w:r>
          </w:p>
        </w:tc>
      </w:tr>
      <w:tr>
        <w:tc>
          <w:tcPr>
            <w:tcW w:type="dxa" w:w="4706"/>
          </w:tcPr>
          <w:p>
            <w:pPr>
              <w:spacing w:after="40"/>
            </w:pPr>
            <w:r>
              <w:rPr>
                <w:sz w:val="18"/>
              </w:rPr>
            </w:r>
            <w:r>
              <w:rPr>
                <w:sz w:val="18"/>
              </w:rPr>
              <w:t>Legal</w:t>
            </w:r>
          </w:p>
        </w:tc>
        <w:tc>
          <w:tcPr>
            <w:tcW w:type="dxa" w:w="4706"/>
          </w:tcPr>
          <w:p>
            <w:pPr>
              <w:spacing w:after="40"/>
            </w:pPr>
            <w:r>
              <w:rPr>
                <w:sz w:val="18"/>
              </w:rPr>
            </w:r>
            <w:r>
              <w:rPr>
                <w:sz w:val="18"/>
              </w:rPr>
              <w:t>Anything non-standard, before signature</w:t>
            </w:r>
          </w:p>
        </w:tc>
      </w:tr>
      <w:tr>
        <w:tc>
          <w:tcPr>
            <w:tcW w:type="dxa" w:w="4706"/>
          </w:tcPr>
          <w:p>
            <w:pPr>
              <w:spacing w:after="40"/>
            </w:pPr>
            <w:r>
              <w:rPr>
                <w:sz w:val="18"/>
              </w:rPr>
            </w:r>
            <w:r>
              <w:rPr>
                <w:sz w:val="18"/>
              </w:rPr>
              <w:t>Marketing</w:t>
            </w:r>
          </w:p>
        </w:tc>
        <w:tc>
          <w:tcPr>
            <w:tcW w:type="dxa" w:w="4706"/>
          </w:tcPr>
          <w:p>
            <w:pPr>
              <w:spacing w:after="40"/>
            </w:pPr>
            <w:r>
              <w:rPr>
                <w:sz w:val="18"/>
              </w:rPr>
            </w:r>
            <w:r>
              <w:rPr>
                <w:sz w:val="18"/>
              </w:rPr>
              <w:t>Loss reasons and objections, which are the best content brief available</w:t>
            </w:r>
          </w:p>
        </w:tc>
      </w:tr>
      <w:tr>
        <w:tc>
          <w:tcPr>
            <w:tcW w:type="dxa" w:w="4706"/>
          </w:tcPr>
          <w:p>
            <w:pPr>
              <w:spacing w:after="40"/>
            </w:pPr>
            <w:r>
              <w:rPr>
                <w:sz w:val="18"/>
              </w:rPr>
            </w:r>
            <w:r>
              <w:rPr>
                <w:sz w:val="18"/>
              </w:rPr>
              <w:t>Customer Success</w:t>
            </w:r>
          </w:p>
        </w:tc>
        <w:tc>
          <w:tcPr>
            <w:tcW w:type="dxa" w:w="4706"/>
          </w:tcPr>
          <w:p>
            <w:pPr>
              <w:spacing w:after="40"/>
            </w:pPr>
            <w:r>
              <w:rPr>
                <w:sz w:val="18"/>
              </w:rPr>
            </w:r>
            <w:r>
              <w:rPr>
                <w:sz w:val="18"/>
              </w:rPr>
              <w:t>The handover: what was promised, by whom, and what the customer believes</w:t>
            </w:r>
          </w:p>
        </w:tc>
      </w:tr>
    </w:tbl>
    <w:p>
      <w:pPr>
        <w:spacing w:after="40"/>
      </w:pPr>
    </w:p>
    <w:p>
      <w:r>
        <w:rPr>
          <w:b/>
        </w:rPr>
        <w:t>The handover row is where deals turn into problems.</w:t>
      </w:r>
      <w:r>
        <w:t xml:space="preserve"> A customer who was told something in a meeting that never reached delivery becomes an unhappy customer at the exact moment they should be a reference.</w:t>
      </w:r>
    </w:p>
    <w:p>
      <w:pPr>
        <w:pStyle w:val="Heading1"/>
      </w:pPr>
      <w:r>
        <w:t>The path</w:t>
      </w:r>
    </w:p>
    <w:p>
      <w:pPr>
        <w:shd w:val="clear" w:color="auto" w:fill="F4F5F7"/>
      </w:pPr>
      <w:r>
        <w:rPr>
          <w:rFonts w:ascii="Consolas" w:hAnsi="Consolas"/>
          <w:sz w:val="18"/>
        </w:rPr>
        <w:t>{</w:t>
        <w:br/>
        <w:t xml:space="preserve">  "title": "Profile to signature",</w:t>
        <w:br/>
        <w:t xml:space="preserve">  "caption": "Machines prepare everything up to the first contact. From first contact onward a person owns every promise, and the proposal gate is where preparation becomes commitment.",</w:t>
        <w:br/>
        <w:t xml:space="preserve">  "lanes": [</w:t>
        <w:br/>
        <w:t xml:space="preserve">    { "label": "Prepare", "arrows": true, "nodes": [</w:t>
        <w:br/>
        <w:t xml:space="preserve">      { "label": "Profile match" },</w:t>
        <w:br/>
        <w:t xml:space="preserve">      { "label": "Enrich" },</w:t>
        <w:br/>
        <w:t xml:space="preserve">      { "label": "Score and route" } ] },</w:t>
        <w:br/>
        <w:t xml:space="preserve">    { "label": "Engage", "arrows": true, "nodes": [</w:t>
        <w:br/>
        <w:t xml:space="preserve">      { "label": "Person makes contact" },</w:t>
        <w:br/>
        <w:t xml:space="preserve">      { "label": "Qualify" },</w:t>
        <w:br/>
        <w:t xml:space="preserve">      { "label": "Brief and solution" } ] },</w:t>
        <w:br/>
        <w:t xml:space="preserve">    { "label": "Commit", "arrows": true, "nodes": [</w:t>
        <w:br/>
        <w:t xml:space="preserve">      { "label": "Proposal, three checks" },</w:t>
        <w:br/>
        <w:t xml:space="preserve">      { "label": "Price approved" },</w:t>
        <w:br/>
        <w:t xml:space="preserve">      { "label": "Signature and handover" } ] }</w:t>
        <w:br/>
        <w:t xml:space="preserve">  ]</w:t>
        <w:br/>
        <w:t>}</w:t>
      </w:r>
    </w:p>
    <w:p>
      <w:pPr>
        <w:pStyle w:val="Heading1"/>
      </w:pPr>
      <w:r>
        <w:t>Handoff contracts</w:t>
      </w:r>
    </w:p>
    <w:p>
      <w:r>
        <w:rPr>
          <w:b/>
        </w:rPr>
        <w:t>With Marketing.</w:t>
      </w:r>
      <w:r>
        <w:t xml:space="preserve"> Marketing generates interest; sales converts it. The useful exchange runs the other way too: every objection heard in a call is a content brief, and objections are the highest quality content input available because they are what people actually ask.</w:t>
      </w:r>
    </w:p>
    <w:p>
      <w:r>
        <w:rPr>
          <w:b/>
        </w:rPr>
        <w:t>With Delivery.</w:t>
      </w:r>
      <w:r>
        <w:t xml:space="preserve"> Nothing is proposed that delivery has not confirmed it can do. This is the contract most often broken under quarter-end pressure and the one whose breach is most expensive, because the cost lands months later on people who did not make the promise.</w:t>
      </w:r>
    </w:p>
    <w:p>
      <w:r>
        <w:rPr>
          <w:b/>
        </w:rPr>
        <w:t>With Finance.</w:t>
      </w:r>
      <w:r>
        <w:t xml:space="preserve"> They set the discount band. Inside it, the seller decides; outside it, the CFO does. Sellers need to know where the line is without asking each time.</w:t>
      </w:r>
    </w:p>
    <w:p>
      <w:r>
        <w:rPr>
          <w:b/>
        </w:rPr>
        <w:t>To Customer Success.</w:t>
      </w:r>
      <w:r>
        <w:t xml:space="preserve"> A structured handover, including anything promised verbally. If it was said in a meeting, it was promised.</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Daily</w:t>
            </w:r>
          </w:p>
        </w:tc>
        <w:tc>
          <w:tcPr>
            <w:tcW w:type="dxa" w:w="4706"/>
            <w:shd w:val="clear" w:color="auto" w:fill="F1EAFE"/>
          </w:tcPr>
          <w:p>
            <w:pPr>
              <w:spacing w:after="40"/>
            </w:pPr>
            <w:r>
              <w:rPr>
                <w:b/>
                <w:sz w:val="18"/>
              </w:rPr>
            </w:r>
            <w:r>
              <w:rPr>
                <w:b/>
                <w:sz w:val="18"/>
              </w:rPr>
              <w:t>New scored candidates, replies</w:t>
            </w:r>
          </w:p>
        </w:tc>
      </w:tr>
      <w:tr>
        <w:tc>
          <w:tcPr>
            <w:tcW w:type="dxa" w:w="4706"/>
          </w:tcPr>
          <w:p>
            <w:pPr>
              <w:spacing w:after="40"/>
            </w:pPr>
            <w:r>
              <w:rPr>
                <w:sz w:val="18"/>
              </w:rPr>
            </w:r>
            <w:r>
              <w:rPr>
                <w:sz w:val="18"/>
              </w:rPr>
              <w:t>Weekly</w:t>
            </w:r>
          </w:p>
        </w:tc>
        <w:tc>
          <w:tcPr>
            <w:tcW w:type="dxa" w:w="4706"/>
          </w:tcPr>
          <w:p>
            <w:pPr>
              <w:spacing w:after="40"/>
            </w:pPr>
            <w:r>
              <w:rPr>
                <w:sz w:val="18"/>
              </w:rPr>
            </w:r>
            <w:r>
              <w:rPr>
                <w:sz w:val="18"/>
              </w:rPr>
              <w:t>Pipeline quality, stalled deals, deals with no decision maker</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Score calibration, loss analysis, conversion</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Profile review, and whether the anti-profile is being honoured</w:t>
            </w:r>
          </w:p>
        </w:tc>
      </w:tr>
    </w:tbl>
    <w:p>
      <w:pPr>
        <w:spacing w:after="40"/>
      </w:pPr>
    </w:p>
    <w:p>
      <w:pPr>
        <w:pStyle w:val="Heading1"/>
      </w:pPr>
      <w:r>
        <w:t>The failure this design is built against</w:t>
      </w:r>
    </w:p>
    <w:p>
      <w:r>
        <w:t>A pipeline full of cheaply-generated leads that nobody can close, sold to by automated messages that damage the brand, on proposals that promise what delivery cannot build.</w:t>
      </w:r>
    </w:p>
    <w:p>
      <w:r>
        <w:t>Every element here is a brake on that: a written anti-profile, scoring with a calibration check, a person on every first contact, and three checks before a proposal leaves. The common thread is that generation got cheap and consequence did not.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Sales: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how work moves</dc:title>
  <dc:subject/>
  <dc:creator>BvLogic</dc:creator>
  <cp:keywords>BvLogic, Workflow, enterprise AI, Sales: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