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Bdr>
          <w:bottom w:val="single" w:sz="8" w:space="4" w:color="7C3AED"/>
        </w:pBdr>
      </w:pPr>
      <w:r>
        <w:rPr>
          <w:rFonts w:ascii="Georgia" w:hAnsi="Georgia"/>
          <w:b/>
          <w:color w:val="7C3AED"/>
          <w:sz w:val="44"/>
        </w:rPr>
        <w:t>BvLogic</w:t>
      </w:r>
    </w:p>
    <w:p>
      <w:pPr>
        <w:spacing w:before="720"/>
      </w:pPr>
      <w:r>
        <w:rPr>
          <w:b/>
          <w:color w:val="5B6471"/>
          <w:sz w:val="18"/>
        </w:rPr>
        <w:t>SOP</w:t>
      </w:r>
    </w:p>
    <w:p>
      <w:pPr>
        <w:spacing w:after="160"/>
      </w:pPr>
      <w:r>
        <w:rPr>
          <w:rFonts w:ascii="Georgia" w:hAnsi="Georgia"/>
          <w:b/>
          <w:color w:val="0F141A"/>
          <w:sz w:val="56"/>
        </w:rPr>
        <w:t>Sales: standard operating procedures</w:t>
      </w:r>
    </w:p>
    <w:tbl>
      <w:tblPr>
        <w:tblStyle w:val="TableGrid"/>
        <w:tblW w:type="auto" w:w="0"/>
        <w:jc w:val="left"/>
        <w:tblLook w:firstColumn="1" w:firstRow="1" w:lastColumn="0" w:lastRow="0" w:noHBand="0" w:noVBand="1" w:val="04A0"/>
      </w:tblPr>
      <w:tblGrid>
        <w:gridCol w:w="4706"/>
        <w:gridCol w:w="4706"/>
      </w:tblGrid>
      <w:tr>
        <w:tc>
          <w:tcPr>
            <w:tcW w:type="dxa" w:w="2551"/>
            <w:shd w:val="clear" w:color="auto" w:fill="F1EAFE"/>
          </w:tcPr>
          <w:p>
            <w:r/>
            <w:r>
              <w:rPr>
                <w:b/>
                <w:sz w:val="18"/>
              </w:rPr>
              <w:t>Document ID</w:t>
            </w:r>
          </w:p>
        </w:tc>
        <w:tc>
          <w:tcPr>
            <w:tcW w:type="dxa" w:w="6520"/>
          </w:tcPr>
          <w:p>
            <w:r/>
            <w:r>
              <w:rPr>
                <w:sz w:val="18"/>
              </w:rPr>
              <w:t>BVL-64F6F3</w:t>
            </w:r>
          </w:p>
        </w:tc>
      </w:tr>
      <w:tr>
        <w:tc>
          <w:tcPr>
            <w:tcW w:type="dxa" w:w="2551"/>
            <w:shd w:val="clear" w:color="auto" w:fill="F1EAFE"/>
          </w:tcPr>
          <w:p>
            <w:r/>
            <w:r>
              <w:rPr>
                <w:b/>
                <w:sz w:val="18"/>
              </w:rPr>
              <w:t>Version</w:t>
            </w:r>
          </w:p>
        </w:tc>
        <w:tc>
          <w:tcPr>
            <w:tcW w:type="dxa" w:w="6520"/>
          </w:tcPr>
          <w:p>
            <w:r/>
            <w:r>
              <w:rPr>
                <w:sz w:val="18"/>
              </w:rPr>
              <w:t>1.0</w:t>
            </w:r>
          </w:p>
        </w:tc>
      </w:tr>
      <w:tr>
        <w:tc>
          <w:tcPr>
            <w:tcW w:type="dxa" w:w="2551"/>
            <w:shd w:val="clear" w:color="auto" w:fill="F1EAFE"/>
          </w:tcPr>
          <w:p>
            <w:r/>
            <w:r>
              <w:rPr>
                <w:b/>
                <w:sz w:val="18"/>
              </w:rPr>
              <w:t>Status</w:t>
            </w:r>
          </w:p>
        </w:tc>
        <w:tc>
          <w:tcPr>
            <w:tcW w:type="dxa" w:w="6520"/>
          </w:tcPr>
          <w:p>
            <w:r/>
            <w:r>
              <w:rPr>
                <w:sz w:val="18"/>
              </w:rPr>
              <w:t>Published</w:t>
            </w:r>
          </w:p>
        </w:tc>
      </w:tr>
      <w:tr>
        <w:tc>
          <w:tcPr>
            <w:tcW w:type="dxa" w:w="2551"/>
            <w:shd w:val="clear" w:color="auto" w:fill="F1EAFE"/>
          </w:tcPr>
          <w:p>
            <w:r/>
            <w:r>
              <w:rPr>
                <w:b/>
                <w:sz w:val="18"/>
              </w:rPr>
              <w:t>Owner</w:t>
            </w:r>
          </w:p>
        </w:tc>
        <w:tc>
          <w:tcPr>
            <w:tcW w:type="dxa" w:w="6520"/>
          </w:tcPr>
          <w:p>
            <w:r/>
            <w:r>
              <w:rPr>
                <w:sz w:val="18"/>
              </w:rPr>
              <w:t>BvLogic Knowledge Management</w:t>
            </w:r>
          </w:p>
        </w:tc>
      </w:tr>
      <w:tr>
        <w:tc>
          <w:tcPr>
            <w:tcW w:type="dxa" w:w="2551"/>
            <w:shd w:val="clear" w:color="auto" w:fill="F1EAFE"/>
          </w:tcPr>
          <w:p>
            <w:r/>
            <w:r>
              <w:rPr>
                <w:b/>
                <w:sz w:val="18"/>
              </w:rPr>
              <w:t>Classification</w:t>
            </w:r>
          </w:p>
        </w:tc>
        <w:tc>
          <w:tcPr>
            <w:tcW w:type="dxa" w:w="6520"/>
          </w:tcPr>
          <w:p>
            <w:r/>
            <w:r>
              <w:rPr>
                <w:sz w:val="18"/>
              </w:rPr>
              <w:t>Public</w:t>
            </w:r>
          </w:p>
        </w:tc>
      </w:tr>
      <w:tr>
        <w:tc>
          <w:tcPr>
            <w:tcW w:type="dxa" w:w="2551"/>
            <w:shd w:val="clear" w:color="auto" w:fill="F1EAFE"/>
          </w:tcPr>
          <w:p>
            <w:r/>
            <w:r>
              <w:rPr>
                <w:b/>
                <w:sz w:val="18"/>
              </w:rPr>
              <w:t>Issued</w:t>
            </w:r>
          </w:p>
        </w:tc>
        <w:tc>
          <w:tcPr>
            <w:tcW w:type="dxa" w:w="6520"/>
          </w:tcPr>
          <w:p>
            <w:r/>
            <w:r>
              <w:rPr>
                <w:sz w:val="18"/>
              </w:rPr>
              <w:t>10 August 2026</w:t>
            </w:r>
          </w:p>
        </w:tc>
      </w:tr>
      <w:tr>
        <w:tc>
          <w:tcPr>
            <w:tcW w:type="dxa" w:w="2551"/>
            <w:shd w:val="clear" w:color="auto" w:fill="F1EAFE"/>
          </w:tcPr>
          <w:p>
            <w:r/>
            <w:r>
              <w:rPr>
                <w:b/>
                <w:sz w:val="18"/>
              </w:rPr>
              <w:t>Next review</w:t>
            </w:r>
          </w:p>
        </w:tc>
        <w:tc>
          <w:tcPr>
            <w:tcW w:type="dxa" w:w="6520"/>
          </w:tcPr>
          <w:p>
            <w:r/>
            <w:r>
              <w:rPr>
                <w:sz w:val="18"/>
              </w:rPr>
              <w:t>10 August 2027</w:t>
            </w:r>
          </w:p>
        </w:tc>
      </w:tr>
      <w:tr>
        <w:tc>
          <w:tcPr>
            <w:tcW w:type="dxa" w:w="2551"/>
            <w:shd w:val="clear" w:color="auto" w:fill="F1EAFE"/>
          </w:tcPr>
          <w:p>
            <w:r/>
            <w:r>
              <w:rPr>
                <w:b/>
                <w:sz w:val="18"/>
              </w:rPr>
              <w:t>Document type</w:t>
            </w:r>
          </w:p>
        </w:tc>
        <w:tc>
          <w:tcPr>
            <w:tcW w:type="dxa" w:w="6520"/>
          </w:tcPr>
          <w:p>
            <w:r/>
            <w:r>
              <w:rPr>
                <w:sz w:val="18"/>
              </w:rPr>
              <w:t>Sop</w:t>
            </w:r>
          </w:p>
        </w:tc>
      </w:tr>
    </w:tbl>
    <w:p>
      <w:pPr>
        <w:sectPr>
          <w:headerReference w:type="default" r:id="rId9"/>
          <w:pgSz w:w="11906" w:h="16838"/>
          <w:pgMar w:top="1417" w:right="1247" w:bottom="1417" w:left="1247" w:header="680" w:footer="680" w:gutter="0"/>
          <w:cols w:space="720"/>
          <w:docGrid w:linePitch="360"/>
        </w:sectPr>
      </w:pPr>
    </w:p>
    <w:p>
      <w:r>
        <w:rPr>
          <w:rFonts w:ascii="Georgia" w:hAnsi="Georgia"/>
          <w:b/>
          <w:color w:val="7C3AED"/>
          <w:sz w:val="28"/>
        </w:rPr>
        <w:t>Contents</w:t>
      </w:r>
    </w:p>
    <w:p>
      <w:r>
        <w:fldChar w:fldCharType="begin"/>
      </w:r>
      <w:r>
        <w:instrText xml:space="preserve"> TOC \o "1-3" \h \z \u </w:instrText>
      </w:r>
      <w:r>
        <w:fldChar w:fldCharType="separate"/>
      </w:r>
      <w:r>
        <w:fldChar w:fldCharType="end"/>
      </w:r>
    </w:p>
    <w:p>
      <w:r>
        <w:br w:type="page"/>
      </w:r>
    </w:p>
    <w:p>
      <w:pPr>
        <w:pStyle w:val="Heading1"/>
      </w:pPr>
      <w:r>
        <w:t>SOP 1: Define the profile</w:t>
      </w:r>
    </w:p>
    <w:p>
      <w:r>
        <w:rPr>
          <w:b/>
        </w:rPr>
        <w:t>Run:</w:t>
      </w:r>
      <w:r>
        <w:t xml:space="preserve"> quarterly, and whenever the offering changes.</w:t>
      </w:r>
    </w:p>
    <w:p>
      <w:r>
        <w:t>Everything downstream inherits this. Written, specific, and including the anti-profile.</w:t>
      </w:r>
    </w:p>
    <w:tbl>
      <w:tblPr>
        <w:tblStyle w:val="TableGrid"/>
        <w:tblW w:type="auto" w:w="0"/>
        <w:tblLook w:firstColumn="1" w:firstRow="1" w:lastColumn="0" w:lastRow="0" w:noHBand="0" w:noVBand="1" w:val="04A0"/>
      </w:tblPr>
      <w:tblGrid>
        <w:gridCol w:w="4706"/>
        <w:gridCol w:w="4706"/>
      </w:tblGrid>
      <w:tr>
        <w:trPr>
          <w:tblHeader w:val="true"/>
        </w:trPr>
        <w:tc>
          <w:tcPr>
            <w:tcW w:type="dxa" w:w="4706"/>
            <w:shd w:val="clear" w:color="auto" w:fill="F1EAFE"/>
          </w:tcPr>
          <w:p>
            <w:pPr>
              <w:spacing w:after="40"/>
            </w:pPr>
            <w:r>
              <w:rPr>
                <w:b/>
                <w:sz w:val="18"/>
              </w:rPr>
            </w:r>
            <w:r>
              <w:rPr>
                <w:b/>
                <w:sz w:val="18"/>
              </w:rPr>
              <w:t>Field</w:t>
            </w:r>
          </w:p>
        </w:tc>
        <w:tc>
          <w:tcPr>
            <w:tcW w:type="dxa" w:w="4706"/>
            <w:shd w:val="clear" w:color="auto" w:fill="F1EAFE"/>
          </w:tcPr>
          <w:p>
            <w:pPr>
              <w:spacing w:after="40"/>
            </w:pPr>
            <w:r>
              <w:rPr>
                <w:b/>
                <w:sz w:val="18"/>
              </w:rPr>
            </w:r>
            <w:r>
              <w:rPr>
                <w:b/>
                <w:sz w:val="18"/>
              </w:rPr>
              <w:t>Example of a useful answer</w:t>
            </w:r>
          </w:p>
        </w:tc>
      </w:tr>
      <w:tr>
        <w:tc>
          <w:tcPr>
            <w:tcW w:type="dxa" w:w="4706"/>
          </w:tcPr>
          <w:p>
            <w:pPr>
              <w:spacing w:after="40"/>
            </w:pPr>
            <w:r>
              <w:rPr>
                <w:sz w:val="18"/>
              </w:rPr>
            </w:r>
            <w:r>
              <w:rPr>
                <w:sz w:val="18"/>
              </w:rPr>
              <w:t>Sector and size</w:t>
            </w:r>
          </w:p>
        </w:tc>
        <w:tc>
          <w:tcPr>
            <w:tcW w:type="dxa" w:w="4706"/>
          </w:tcPr>
          <w:p>
            <w:pPr>
              <w:spacing w:after="40"/>
            </w:pPr>
            <w:r>
              <w:rPr>
                <w:sz w:val="18"/>
              </w:rPr>
            </w:r>
            <w:r>
              <w:rPr>
                <w:sz w:val="18"/>
              </w:rPr>
              <w:t>Not "enterprise". A range, and why that range</w:t>
            </w:r>
          </w:p>
        </w:tc>
      </w:tr>
      <w:tr>
        <w:tc>
          <w:tcPr>
            <w:tcW w:type="dxa" w:w="4706"/>
          </w:tcPr>
          <w:p>
            <w:pPr>
              <w:spacing w:after="40"/>
            </w:pPr>
            <w:r>
              <w:rPr>
                <w:sz w:val="18"/>
              </w:rPr>
            </w:r>
            <w:r>
              <w:rPr>
                <w:sz w:val="18"/>
              </w:rPr>
              <w:t>The problem we solve</w:t>
            </w:r>
          </w:p>
        </w:tc>
        <w:tc>
          <w:tcPr>
            <w:tcW w:type="dxa" w:w="4706"/>
          </w:tcPr>
          <w:p>
            <w:pPr>
              <w:spacing w:after="40"/>
            </w:pPr>
            <w:r>
              <w:rPr>
                <w:sz w:val="18"/>
              </w:rPr>
            </w:r>
            <w:r>
              <w:rPr>
                <w:sz w:val="18"/>
              </w:rPr>
              <w:t>In their words, not ours</w:t>
            </w:r>
          </w:p>
        </w:tc>
      </w:tr>
      <w:tr>
        <w:tc>
          <w:tcPr>
            <w:tcW w:type="dxa" w:w="4706"/>
          </w:tcPr>
          <w:p>
            <w:pPr>
              <w:spacing w:after="40"/>
            </w:pPr>
            <w:r>
              <w:rPr>
                <w:sz w:val="18"/>
              </w:rPr>
            </w:r>
            <w:r>
              <w:rPr>
                <w:sz w:val="18"/>
              </w:rPr>
              <w:t>Observable signals</w:t>
            </w:r>
          </w:p>
        </w:tc>
        <w:tc>
          <w:tcPr>
            <w:tcW w:type="dxa" w:w="4706"/>
          </w:tcPr>
          <w:p>
            <w:pPr>
              <w:spacing w:after="40"/>
            </w:pPr>
            <w:r>
              <w:rPr>
                <w:sz w:val="18"/>
              </w:rPr>
            </w:r>
            <w:r>
              <w:rPr>
                <w:sz w:val="18"/>
              </w:rPr>
              <w:t>What is visible from outside that suggests they have it now</w:t>
            </w:r>
          </w:p>
        </w:tc>
      </w:tr>
      <w:tr>
        <w:tc>
          <w:tcPr>
            <w:tcW w:type="dxa" w:w="4706"/>
          </w:tcPr>
          <w:p>
            <w:pPr>
              <w:spacing w:after="40"/>
            </w:pPr>
            <w:r>
              <w:rPr>
                <w:sz w:val="18"/>
              </w:rPr>
            </w:r>
            <w:r>
              <w:rPr>
                <w:sz w:val="18"/>
              </w:rPr>
              <w:t>Who decides</w:t>
            </w:r>
          </w:p>
        </w:tc>
        <w:tc>
          <w:tcPr>
            <w:tcW w:type="dxa" w:w="4706"/>
          </w:tcPr>
          <w:p>
            <w:pPr>
              <w:spacing w:after="40"/>
            </w:pPr>
            <w:r>
              <w:rPr>
                <w:sz w:val="18"/>
              </w:rPr>
            </w:r>
            <w:r>
              <w:rPr>
                <w:sz w:val="18"/>
              </w:rPr>
              <w:t>The role, and who else has a veto</w:t>
            </w:r>
          </w:p>
        </w:tc>
      </w:tr>
      <w:tr>
        <w:tc>
          <w:tcPr>
            <w:tcW w:type="dxa" w:w="4706"/>
          </w:tcPr>
          <w:p>
            <w:pPr>
              <w:spacing w:after="40"/>
            </w:pPr>
            <w:r>
              <w:rPr>
                <w:sz w:val="18"/>
              </w:rPr>
            </w:r>
            <w:r>
              <w:rPr>
                <w:b/>
                <w:sz w:val="18"/>
              </w:rPr>
              <w:t>Anti-profile</w:t>
            </w:r>
          </w:p>
        </w:tc>
        <w:tc>
          <w:tcPr>
            <w:tcW w:type="dxa" w:w="4706"/>
          </w:tcPr>
          <w:p>
            <w:pPr>
              <w:spacing w:after="40"/>
            </w:pPr>
            <w:r>
              <w:rPr>
                <w:sz w:val="18"/>
              </w:rPr>
            </w:r>
            <w:r>
              <w:rPr>
                <w:sz w:val="18"/>
              </w:rPr>
              <w:t>Who we will not sell to, and why. The row that saves the most time</w:t>
            </w:r>
          </w:p>
        </w:tc>
      </w:tr>
    </w:tbl>
    <w:p>
      <w:pPr>
        <w:spacing w:after="40"/>
      </w:pPr>
    </w:p>
    <w:p>
      <w:r>
        <w:t>An agent given a vague profile returns volume. Volume feels like progress and takes a quarter to disprove.</w:t>
      </w:r>
    </w:p>
    <w:p>
      <w:pPr>
        <w:pStyle w:val="Heading1"/>
      </w:pPr>
      <w:r>
        <w:t>SOP 2: Generate and enrich</w:t>
      </w:r>
    </w:p>
    <w:p>
      <w:r>
        <w:rPr>
          <w:b/>
        </w:rPr>
        <w:t>Run:</w:t>
      </w:r>
      <w:r>
        <w:t xml:space="preserve"> continuously.</w:t>
      </w:r>
    </w:p>
    <w:p>
      <w:pPr>
        <w:pStyle w:val="ListNumber"/>
      </w:pPr>
      <w:r>
        <w:t>Candidates matched against the profile.</w:t>
      </w:r>
    </w:p>
    <w:p>
      <w:pPr>
        <w:pStyle w:val="ListNumber"/>
      </w:pPr>
      <w:r>
        <w:t>Enriched with size, stack, likely problems and decision makers.</w:t>
      </w:r>
    </w:p>
    <w:p>
      <w:pPr>
        <w:pStyle w:val="ListNumber"/>
      </w:pPr>
      <w:r>
        <w:rPr>
          <w:b/>
        </w:rPr>
        <w:t>Every inference labelled as an inference.</w:t>
      </w:r>
      <w:r>
        <w:t xml:space="preserve"> Unlabelled, it becomes a fact within days and gets</w:t>
      </w:r>
    </w:p>
    <w:p>
      <w:r>
        <w:t>repeated to the prospect.</w:t>
      </w:r>
    </w:p>
    <w:p>
      <w:pPr>
        <w:pStyle w:val="ListNumber"/>
      </w:pPr>
      <w:r>
        <w:t>Anything that cannot be verified stays labelled unverified all the way to the first meeting.</w:t>
      </w:r>
    </w:p>
    <w:p>
      <w:pPr>
        <w:pStyle w:val="Heading1"/>
      </w:pPr>
      <w:r>
        <w:t>SOP 3: Score and route</w:t>
      </w:r>
    </w:p>
    <w:p>
      <w:r>
        <w:rPr>
          <w:b/>
        </w:rPr>
        <w:t>Run:</w:t>
      </w:r>
      <w:r>
        <w:t xml:space="preserve"> on every candidate.</w:t>
      </w:r>
    </w:p>
    <w:p>
      <w:r>
        <w:t xml:space="preserve">The score orders the queue. The </w:t>
      </w:r>
      <w:r>
        <w:rPr>
          <w:b/>
        </w:rPr>
        <w:t>breakdown</w:t>
      </w:r>
      <w:r>
        <w:t xml:space="preserve"> decides the approach: a high score with low reachability means find a warm route before calling, and a high score with a weak budget signal means qualify the budget in the first conversation rather than the fourth.</w:t>
      </w:r>
    </w:p>
    <w:p>
      <w:r>
        <w:t xml:space="preserve">Below the working threshold, candidates are held rather than contacted. </w:t>
      </w:r>
      <w:r>
        <w:rPr>
          <w:b/>
        </w:rPr>
        <w:t>Working a weak lead because there is capacity is how a pipeline fills with deals that never close.</w:t>
      </w:r>
    </w:p>
    <w:p>
      <w:pPr>
        <w:pStyle w:val="Heading1"/>
      </w:pPr>
      <w:r>
        <w:t>SOP 4: Outreach</w:t>
      </w:r>
    </w:p>
    <w:p>
      <w:r>
        <w:rPr>
          <w:b/>
        </w:rPr>
        <w:t>Run:</w:t>
      </w:r>
      <w:r>
        <w:t xml:space="preserve"> per contact.</w:t>
      </w:r>
    </w:p>
    <w:p>
      <w:pPr>
        <w:pStyle w:val="ListBullet"/>
      </w:pPr>
      <w:r>
        <w:rPr>
          <w:b/>
        </w:rPr>
        <w:t>A person sends the first message.</w:t>
      </w:r>
      <w:r>
        <w:t xml:space="preserve"> Always. Automated first contact at volume is how a brand</w:t>
      </w:r>
    </w:p>
    <w:p>
      <w:r>
        <w:t>becomes spam, and the reputational cost outlives the pipeline it produced.</w:t>
      </w:r>
    </w:p>
    <w:p>
      <w:pPr>
        <w:pStyle w:val="ListBullet"/>
      </w:pPr>
      <w:r>
        <w:t>The research is prepared; the message is written or approved by the sender.</w:t>
      </w:r>
    </w:p>
    <w:p>
      <w:pPr>
        <w:pStyle w:val="ListBullet"/>
      </w:pPr>
      <w:r>
        <w:t>Unsubscribe honoured immediately and permanently across every list.</w:t>
      </w:r>
    </w:p>
    <w:p>
      <w:pPr>
        <w:pStyle w:val="ListBullet"/>
      </w:pPr>
      <w:r>
        <w:t>Volume capped per week. If the cap is the constraint, the profile is too broad.</w:t>
      </w:r>
    </w:p>
    <w:p>
      <w:pPr>
        <w:pStyle w:val="Heading1"/>
      </w:pPr>
      <w:r>
        <w:t>SOP 5: Proposal review</w:t>
      </w:r>
    </w:p>
    <w:p>
      <w:r>
        <w:rPr>
          <w:b/>
        </w:rPr>
        <w:t>Run:</w:t>
      </w:r>
      <w:r>
        <w:t xml:space="preserve"> before any proposal leaves.</w:t>
      </w:r>
    </w:p>
    <w:p>
      <w:r>
        <w:t>Three checks, by a person who can say no:</w:t>
      </w:r>
    </w:p>
    <w:tbl>
      <w:tblPr>
        <w:tblStyle w:val="TableGrid"/>
        <w:tblW w:type="auto" w:w="0"/>
        <w:tblLook w:firstColumn="1" w:firstRow="1" w:lastColumn="0" w:lastRow="0" w:noHBand="0" w:noVBand="1" w:val="04A0"/>
      </w:tblPr>
      <w:tblGrid>
        <w:gridCol w:w="4706"/>
        <w:gridCol w:w="4706"/>
      </w:tblGrid>
      <w:tr>
        <w:trPr>
          <w:tblHeader w:val="true"/>
        </w:trPr>
        <w:tc>
          <w:tcPr>
            <w:tcW w:type="dxa" w:w="4706"/>
            <w:shd w:val="clear" w:color="auto" w:fill="F1EAFE"/>
          </w:tcPr>
          <w:p>
            <w:pPr>
              <w:spacing w:after="40"/>
            </w:pPr>
            <w:r>
              <w:rPr>
                <w:b/>
                <w:sz w:val="18"/>
              </w:rPr>
            </w:r>
            <w:r>
              <w:rPr>
                <w:b/>
                <w:sz w:val="18"/>
              </w:rPr>
              <w:t>Check</w:t>
            </w:r>
          </w:p>
        </w:tc>
        <w:tc>
          <w:tcPr>
            <w:tcW w:type="dxa" w:w="4706"/>
            <w:shd w:val="clear" w:color="auto" w:fill="F1EAFE"/>
          </w:tcPr>
          <w:p>
            <w:pPr>
              <w:spacing w:after="40"/>
            </w:pPr>
            <w:r>
              <w:rPr>
                <w:b/>
                <w:sz w:val="18"/>
              </w:rPr>
            </w:r>
            <w:r>
              <w:rPr>
                <w:b/>
                <w:sz w:val="18"/>
              </w:rPr>
              <w:t>Question</w:t>
            </w:r>
          </w:p>
        </w:tc>
      </w:tr>
      <w:tr>
        <w:tc>
          <w:tcPr>
            <w:tcW w:type="dxa" w:w="4706"/>
          </w:tcPr>
          <w:p>
            <w:pPr>
              <w:spacing w:after="40"/>
            </w:pPr>
            <w:r>
              <w:rPr>
                <w:sz w:val="18"/>
              </w:rPr>
            </w:r>
            <w:r>
              <w:rPr>
                <w:sz w:val="18"/>
              </w:rPr>
              <w:t>Deliverable</w:t>
            </w:r>
          </w:p>
        </w:tc>
        <w:tc>
          <w:tcPr>
            <w:tcW w:type="dxa" w:w="4706"/>
          </w:tcPr>
          <w:p>
            <w:pPr>
              <w:spacing w:after="40"/>
            </w:pPr>
            <w:r>
              <w:rPr>
                <w:sz w:val="18"/>
              </w:rPr>
            </w:r>
            <w:r>
              <w:rPr>
                <w:sz w:val="18"/>
              </w:rPr>
              <w:t>Can we actually do this, with the people we have?</w:t>
            </w:r>
          </w:p>
        </w:tc>
      </w:tr>
      <w:tr>
        <w:tc>
          <w:tcPr>
            <w:tcW w:type="dxa" w:w="4706"/>
          </w:tcPr>
          <w:p>
            <w:pPr>
              <w:spacing w:after="40"/>
            </w:pPr>
            <w:r>
              <w:rPr>
                <w:sz w:val="18"/>
              </w:rPr>
            </w:r>
            <w:r>
              <w:rPr>
                <w:sz w:val="18"/>
              </w:rPr>
              <w:t>Costed</w:t>
            </w:r>
          </w:p>
        </w:tc>
        <w:tc>
          <w:tcPr>
            <w:tcW w:type="dxa" w:w="4706"/>
          </w:tcPr>
          <w:p>
            <w:pPr>
              <w:spacing w:after="40"/>
            </w:pPr>
            <w:r>
              <w:rPr>
                <w:sz w:val="18"/>
              </w:rPr>
            </w:r>
            <w:r>
              <w:rPr>
                <w:sz w:val="18"/>
              </w:rPr>
              <w:t>Has someone priced it, or is the number a plausible-looking guess?</w:t>
            </w:r>
          </w:p>
        </w:tc>
      </w:tr>
      <w:tr>
        <w:tc>
          <w:tcPr>
            <w:tcW w:type="dxa" w:w="4706"/>
          </w:tcPr>
          <w:p>
            <w:pPr>
              <w:spacing w:after="40"/>
            </w:pPr>
            <w:r>
              <w:rPr>
                <w:sz w:val="18"/>
              </w:rPr>
            </w:r>
            <w:r>
              <w:rPr>
                <w:sz w:val="18"/>
              </w:rPr>
              <w:t>Committed</w:t>
            </w:r>
          </w:p>
        </w:tc>
        <w:tc>
          <w:tcPr>
            <w:tcW w:type="dxa" w:w="4706"/>
          </w:tcPr>
          <w:p>
            <w:pPr>
              <w:spacing w:after="40"/>
            </w:pPr>
            <w:r>
              <w:rPr>
                <w:sz w:val="18"/>
              </w:rPr>
            </w:r>
            <w:r>
              <w:rPr>
                <w:sz w:val="18"/>
              </w:rPr>
              <w:t>Does it promise a date, a capability or an outcome nobody has agreed to?</w:t>
            </w:r>
          </w:p>
        </w:tc>
      </w:tr>
    </w:tbl>
    <w:p>
      <w:pPr>
        <w:spacing w:after="40"/>
      </w:pPr>
    </w:p>
    <w:p>
      <w:r>
        <w:t>A generated proposal is fluent, and fluency is the risk. It will promise a capability we do not have in a timeline nobody costed, because those sentences are common in the proposals it learned from.</w:t>
      </w:r>
    </w:p>
    <w:p>
      <w:pPr>
        <w:pStyle w:val="Heading1"/>
      </w:pPr>
      <w:r>
        <w:t>SOP 6: Loss analysis</w:t>
      </w:r>
    </w:p>
    <w:p>
      <w:r>
        <w:rPr>
          <w:b/>
        </w:rPr>
        <w:t>Run:</w:t>
      </w:r>
      <w:r>
        <w:t xml:space="preserve"> on every loss, monthly in aggregate.</w:t>
      </w:r>
    </w:p>
    <w:p>
      <w:r>
        <w:t>Ask the prospect. The internal guess about why a deal was lost is usually wrong and always flattering.</w:t>
      </w:r>
    </w:p>
    <w:tbl>
      <w:tblPr>
        <w:tblStyle w:val="TableGrid"/>
        <w:tblW w:type="auto" w:w="0"/>
        <w:tblLook w:firstColumn="1" w:firstRow="1" w:lastColumn="0" w:lastRow="0" w:noHBand="0" w:noVBand="1" w:val="04A0"/>
      </w:tblPr>
      <w:tblGrid>
        <w:gridCol w:w="4706"/>
        <w:gridCol w:w="4706"/>
      </w:tblGrid>
      <w:tr>
        <w:trPr>
          <w:tblHeader w:val="true"/>
        </w:trPr>
        <w:tc>
          <w:tcPr>
            <w:tcW w:type="dxa" w:w="4706"/>
            <w:shd w:val="clear" w:color="auto" w:fill="F1EAFE"/>
          </w:tcPr>
          <w:p>
            <w:pPr>
              <w:spacing w:after="40"/>
            </w:pPr>
            <w:r>
              <w:rPr>
                <w:b/>
                <w:sz w:val="18"/>
              </w:rPr>
            </w:r>
            <w:r>
              <w:rPr>
                <w:b/>
                <w:sz w:val="18"/>
              </w:rPr>
              <w:t>Reason</w:t>
            </w:r>
          </w:p>
        </w:tc>
        <w:tc>
          <w:tcPr>
            <w:tcW w:type="dxa" w:w="4706"/>
            <w:shd w:val="clear" w:color="auto" w:fill="F1EAFE"/>
          </w:tcPr>
          <w:p>
            <w:pPr>
              <w:spacing w:after="40"/>
            </w:pPr>
            <w:r>
              <w:rPr>
                <w:b/>
                <w:sz w:val="18"/>
              </w:rPr>
            </w:r>
            <w:r>
              <w:rPr>
                <w:b/>
                <w:sz w:val="18"/>
              </w:rPr>
              <w:t>What it means upstream</w:t>
            </w:r>
          </w:p>
        </w:tc>
      </w:tr>
      <w:tr>
        <w:tc>
          <w:tcPr>
            <w:tcW w:type="dxa" w:w="4706"/>
          </w:tcPr>
          <w:p>
            <w:pPr>
              <w:spacing w:after="40"/>
            </w:pPr>
            <w:r>
              <w:rPr>
                <w:sz w:val="18"/>
              </w:rPr>
            </w:r>
            <w:r>
              <w:rPr>
                <w:sz w:val="18"/>
              </w:rPr>
              <w:t>Price</w:t>
            </w:r>
          </w:p>
        </w:tc>
        <w:tc>
          <w:tcPr>
            <w:tcW w:type="dxa" w:w="4706"/>
          </w:tcPr>
          <w:p>
            <w:pPr>
              <w:spacing w:after="40"/>
            </w:pPr>
            <w:r>
              <w:rPr>
                <w:sz w:val="18"/>
              </w:rPr>
            </w:r>
            <w:r>
              <w:rPr>
                <w:sz w:val="18"/>
              </w:rPr>
              <w:t>Either the wrong prospect or the wrong framing of value</w:t>
            </w:r>
          </w:p>
        </w:tc>
      </w:tr>
      <w:tr>
        <w:tc>
          <w:tcPr>
            <w:tcW w:type="dxa" w:w="4706"/>
          </w:tcPr>
          <w:p>
            <w:pPr>
              <w:spacing w:after="40"/>
            </w:pPr>
            <w:r>
              <w:rPr>
                <w:sz w:val="18"/>
              </w:rPr>
            </w:r>
            <w:r>
              <w:rPr>
                <w:sz w:val="18"/>
              </w:rPr>
              <w:t>Scope mismatch</w:t>
            </w:r>
          </w:p>
        </w:tc>
        <w:tc>
          <w:tcPr>
            <w:tcW w:type="dxa" w:w="4706"/>
          </w:tcPr>
          <w:p>
            <w:pPr>
              <w:spacing w:after="40"/>
            </w:pPr>
            <w:r>
              <w:rPr>
                <w:sz w:val="18"/>
              </w:rPr>
            </w:r>
            <w:r>
              <w:rPr>
                <w:sz w:val="18"/>
              </w:rPr>
              <w:t>The proposal promised something delivery cannot do. Fix proposals, not sales</w:t>
            </w:r>
          </w:p>
        </w:tc>
      </w:tr>
      <w:tr>
        <w:tc>
          <w:tcPr>
            <w:tcW w:type="dxa" w:w="4706"/>
          </w:tcPr>
          <w:p>
            <w:pPr>
              <w:spacing w:after="40"/>
            </w:pPr>
            <w:r>
              <w:rPr>
                <w:sz w:val="18"/>
              </w:rPr>
            </w:r>
            <w:r>
              <w:rPr>
                <w:sz w:val="18"/>
              </w:rPr>
              <w:t>Timing</w:t>
            </w:r>
          </w:p>
        </w:tc>
        <w:tc>
          <w:tcPr>
            <w:tcW w:type="dxa" w:w="4706"/>
          </w:tcPr>
          <w:p>
            <w:pPr>
              <w:spacing w:after="40"/>
            </w:pPr>
            <w:r>
              <w:rPr>
                <w:sz w:val="18"/>
              </w:rPr>
            </w:r>
            <w:r>
              <w:rPr>
                <w:sz w:val="18"/>
              </w:rPr>
              <w:t>Not a loss. Diarise it</w:t>
            </w:r>
          </w:p>
        </w:tc>
      </w:tr>
      <w:tr>
        <w:tc>
          <w:tcPr>
            <w:tcW w:type="dxa" w:w="4706"/>
          </w:tcPr>
          <w:p>
            <w:pPr>
              <w:spacing w:after="40"/>
            </w:pPr>
            <w:r>
              <w:rPr>
                <w:sz w:val="18"/>
              </w:rPr>
            </w:r>
            <w:r>
              <w:rPr>
                <w:sz w:val="18"/>
              </w:rPr>
              <w:t>Lost to nobody</w:t>
            </w:r>
          </w:p>
        </w:tc>
        <w:tc>
          <w:tcPr>
            <w:tcW w:type="dxa" w:w="4706"/>
          </w:tcPr>
          <w:p>
            <w:pPr>
              <w:spacing w:after="40"/>
            </w:pPr>
            <w:r>
              <w:rPr>
                <w:sz w:val="18"/>
              </w:rPr>
            </w:r>
            <w:r>
              <w:rPr>
                <w:sz w:val="18"/>
              </w:rPr>
              <w:t>The most common outcome, and it means the case for change was never made</w:t>
            </w:r>
          </w:p>
        </w:tc>
      </w:tr>
      <w:tr>
        <w:tc>
          <w:tcPr>
            <w:tcW w:type="dxa" w:w="4706"/>
          </w:tcPr>
          <w:p>
            <w:pPr>
              <w:spacing w:after="40"/>
            </w:pPr>
            <w:r>
              <w:rPr>
                <w:sz w:val="18"/>
              </w:rPr>
            </w:r>
            <w:r>
              <w:rPr>
                <w:sz w:val="18"/>
              </w:rPr>
              <w:t>Trust</w:t>
            </w:r>
          </w:p>
        </w:tc>
        <w:tc>
          <w:tcPr>
            <w:tcW w:type="dxa" w:w="4706"/>
          </w:tcPr>
          <w:p>
            <w:pPr>
              <w:spacing w:after="40"/>
            </w:pPr>
            <w:r>
              <w:rPr>
                <w:sz w:val="18"/>
              </w:rPr>
            </w:r>
            <w:r>
              <w:rPr>
                <w:sz w:val="18"/>
              </w:rPr>
              <w:t>Reference or capability claim that did not survive checking. Treat as urgent</w:t>
            </w:r>
          </w:p>
        </w:tc>
      </w:tr>
    </w:tbl>
    <w:p>
      <w:pPr>
        <w:spacing w:after="40"/>
      </w:pPr>
    </w:p>
    <w:p>
      <w:pPr>
        <w:pStyle w:val="Heading1"/>
      </w:pPr>
      <w:r>
        <w:t>Escalation</w:t>
      </w:r>
    </w:p>
    <w:tbl>
      <w:tblPr>
        <w:tblStyle w:val="TableGrid"/>
        <w:tblW w:type="auto" w:w="0"/>
        <w:tblLook w:firstColumn="1" w:firstRow="1" w:lastColumn="0" w:lastRow="0" w:noHBand="0" w:noVBand="1" w:val="04A0"/>
      </w:tblPr>
      <w:tblGrid>
        <w:gridCol w:w="4706"/>
        <w:gridCol w:w="4706"/>
      </w:tblGrid>
      <w:tr>
        <w:trPr>
          <w:tblHeader w:val="true"/>
        </w:trPr>
        <w:tc>
          <w:tcPr>
            <w:tcW w:type="dxa" w:w="4706"/>
            <w:shd w:val="clear" w:color="auto" w:fill="F1EAFE"/>
          </w:tcPr>
          <w:p>
            <w:pPr>
              <w:spacing w:after="40"/>
            </w:pPr>
            <w:r>
              <w:rPr>
                <w:b/>
                <w:sz w:val="18"/>
              </w:rPr>
            </w:r>
            <w:r>
              <w:rPr>
                <w:b/>
                <w:sz w:val="18"/>
              </w:rPr>
              <w:t>Situation</w:t>
            </w:r>
          </w:p>
        </w:tc>
        <w:tc>
          <w:tcPr>
            <w:tcW w:type="dxa" w:w="4706"/>
            <w:shd w:val="clear" w:color="auto" w:fill="F1EAFE"/>
          </w:tcPr>
          <w:p>
            <w:pPr>
              <w:spacing w:after="40"/>
            </w:pPr>
            <w:r>
              <w:rPr>
                <w:b/>
                <w:sz w:val="18"/>
              </w:rPr>
            </w:r>
            <w:r>
              <w:rPr>
                <w:b/>
                <w:sz w:val="18"/>
              </w:rPr>
              <w:t>Goes to</w:t>
            </w:r>
          </w:p>
        </w:tc>
      </w:tr>
      <w:tr>
        <w:tc>
          <w:tcPr>
            <w:tcW w:type="dxa" w:w="4706"/>
          </w:tcPr>
          <w:p>
            <w:pPr>
              <w:spacing w:after="40"/>
            </w:pPr>
            <w:r>
              <w:rPr>
                <w:sz w:val="18"/>
              </w:rPr>
            </w:r>
            <w:r>
              <w:rPr>
                <w:sz w:val="18"/>
              </w:rPr>
              <w:t>A proposal needs a capability we do not have</w:t>
            </w:r>
          </w:p>
        </w:tc>
        <w:tc>
          <w:tcPr>
            <w:tcW w:type="dxa" w:w="4706"/>
          </w:tcPr>
          <w:p>
            <w:pPr>
              <w:spacing w:after="40"/>
            </w:pPr>
            <w:r>
              <w:rPr>
                <w:sz w:val="18"/>
              </w:rPr>
            </w:r>
            <w:r>
              <w:rPr>
                <w:sz w:val="18"/>
              </w:rPr>
              <w:t>CTO before it is sent, never after</w:t>
            </w:r>
          </w:p>
        </w:tc>
      </w:tr>
      <w:tr>
        <w:tc>
          <w:tcPr>
            <w:tcW w:type="dxa" w:w="4706"/>
          </w:tcPr>
          <w:p>
            <w:pPr>
              <w:spacing w:after="40"/>
            </w:pPr>
            <w:r>
              <w:rPr>
                <w:sz w:val="18"/>
              </w:rPr>
            </w:r>
            <w:r>
              <w:rPr>
                <w:sz w:val="18"/>
              </w:rPr>
              <w:t>Discount beyond the standard band</w:t>
            </w:r>
          </w:p>
        </w:tc>
        <w:tc>
          <w:tcPr>
            <w:tcW w:type="dxa" w:w="4706"/>
          </w:tcPr>
          <w:p>
            <w:pPr>
              <w:spacing w:after="40"/>
            </w:pPr>
            <w:r>
              <w:rPr>
                <w:sz w:val="18"/>
              </w:rPr>
            </w:r>
            <w:r>
              <w:rPr>
                <w:sz w:val="18"/>
              </w:rPr>
              <w:t>CFO</w:t>
            </w:r>
          </w:p>
        </w:tc>
      </w:tr>
      <w:tr>
        <w:tc>
          <w:tcPr>
            <w:tcW w:type="dxa" w:w="4706"/>
          </w:tcPr>
          <w:p>
            <w:pPr>
              <w:spacing w:after="40"/>
            </w:pPr>
            <w:r>
              <w:rPr>
                <w:sz w:val="18"/>
              </w:rPr>
            </w:r>
            <w:r>
              <w:rPr>
                <w:sz w:val="18"/>
              </w:rPr>
              <w:t>A reference claim that cannot be verified</w:t>
            </w:r>
          </w:p>
        </w:tc>
        <w:tc>
          <w:tcPr>
            <w:tcW w:type="dxa" w:w="4706"/>
          </w:tcPr>
          <w:p>
            <w:pPr>
              <w:spacing w:after="40"/>
            </w:pPr>
            <w:r>
              <w:rPr>
                <w:sz w:val="18"/>
              </w:rPr>
            </w:r>
            <w:r>
              <w:rPr>
                <w:sz w:val="18"/>
              </w:rPr>
              <w:t>Remove it. No exceptions</w:t>
            </w:r>
          </w:p>
        </w:tc>
      </w:tr>
      <w:tr>
        <w:tc>
          <w:tcPr>
            <w:tcW w:type="dxa" w:w="4706"/>
          </w:tcPr>
          <w:p>
            <w:pPr>
              <w:spacing w:after="40"/>
            </w:pPr>
            <w:r>
              <w:rPr>
                <w:sz w:val="18"/>
              </w:rPr>
            </w:r>
            <w:r>
              <w:rPr>
                <w:sz w:val="18"/>
              </w:rPr>
              <w:t>Unsubscribe or complaint rate rising</w:t>
            </w:r>
          </w:p>
        </w:tc>
        <w:tc>
          <w:tcPr>
            <w:tcW w:type="dxa" w:w="4706"/>
          </w:tcPr>
          <w:p>
            <w:pPr>
              <w:spacing w:after="40"/>
            </w:pPr>
            <w:r>
              <w:rPr>
                <w:sz w:val="18"/>
              </w:rPr>
            </w:r>
            <w:r>
              <w:rPr>
                <w:sz w:val="18"/>
              </w:rPr>
              <w:t>Stop outreach and fix targeting before resuming</w:t>
            </w:r>
          </w:p>
        </w:tc>
      </w:tr>
    </w:tbl>
    <w:p>
      <w:pPr>
        <w:spacing w:after="40"/>
      </w:pPr>
    </w:p>
    <w:p/>
    <w:p>
      <w:pPr>
        <w:pBdr>
          <w:bottom w:val="single" w:sz="4" w:space="4" w:color="7C3AED"/>
        </w:pBdr>
      </w:pPr>
    </w:p>
    <w:p>
      <w:r>
        <w:rPr>
          <w:b/>
          <w:color w:val="5B6471"/>
          <w:sz w:val="18"/>
        </w:rPr>
        <w:t>Notice</w:t>
      </w:r>
    </w:p>
    <w:p>
      <w:r>
        <w:rPr>
          <w:color w:val="5B6471"/>
          <w:sz w:val="17"/>
        </w:rPr>
        <w:t>This document is published by BvLogic as general reference material. It is provided for information only and is not professional, financial, legal or tax advice, and no liability is accepted for decisions taken on the basis of it. Figures in worked examples are illustrative unless a source is cited. Verify anything time-sensitive against the live version at bvlogic.com before relying on it.</w:t>
      </w:r>
    </w:p>
    <w:sectPr w:rsidR="00FC693F" w:rsidRPr="0006063C" w:rsidSect="00034616">
      <w:headerReference w:type="default" r:id="rId10"/>
      <w:footerReference w:type="default" r:id="rId11"/>
      <w:pgSz w:w="11906" w:h="16838"/>
      <w:pgMar w:top="1417" w:right="1247" w:bottom="1417" w:left="1247" w:header="680" w:footer="68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
      <w:rPr>
        <w:color w:val="5B6471"/>
        <w:sz w:val="16"/>
      </w:rPr>
      <w:t xml:space="preserve">Page </w:t>
    </w:r>
    <w:r>
      <w:fldChar w:fldCharType="begin"/>
    </w:r>
    <w:r>
      <w:instrText xml:space="preserve"> PAGE </w:instrText>
    </w:r>
    <w:r>
      <w:fldChar w:fldCharType="separate"/>
    </w:r>
    <w:r>
      <w:fldChar w:fldCharType="end"/>
    </w:r>
    <w:r>
      <w:rPr>
        <w:color w:val="5B6471"/>
        <w:sz w:val="16"/>
      </w:rPr>
      <w:t xml:space="preserve"> of </w:t>
    </w:r>
    <w:r>
      <w:fldChar w:fldCharType="begin"/>
    </w:r>
    <w:r>
      <w:instrText xml:space="preserve"> NUMPAGES </w:instrText>
    </w:r>
    <w:r>
      <w:fldChar w:fldCharType="separate"/>
    </w:r>
    <w:r>
      <w:fldChar w:fldCharType="end"/>
    </w:r>
    <w:r>
      <w:rPr>
        <w:color w:val="5B6471"/>
        <w:sz w:val="16"/>
      </w:rPr>
      <w:t xml:space="preserve">    |    bvlogic.com    |    (c) 2026 BvLogic</w:t>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pPr>
  </w:p>
  <w:p>
    <w:pPr>
      <w:spacing w:after="0"/>
    </w:pPr>
    <w:r>
      <w:pict>
        <v:shapetype id="_x0000_t136" coordsize="21600,21600" o:spt="136" adj="10800" path="m@7,0l@8,0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shapetype>
        <v:shape id="BvLogicWatermark" o:spid="_x0000_s2049" type="#_x0000_t136" style="position:absolute;margin-left:0;margin-top:0;width:440pt;height:150pt;             rotation:315;z-index:-251658752;mso-position-horizontal:center;             mso-position-horizontal-relative:margin;mso-position-vertical:center;             mso-position-vertical-relative:margin" o:allowincell="f" fillcolor="#D9D9D9" stroked="f">
          <v:fill opacity="0.55"/>
          <v:textpath style="font-family:&quot;Georgia&quot;;font-weight:bold;v-text-kern:t" trim="t" fitpath="t" string="BvLogic"/>
        </v:shape>
      </w:pict>
    </w:r>
  </w:p>
</w:hdr>
</file>

<file path=word/header2.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pBdr>
        <w:bottom w:val="single" w:sz="4" w:space="4" w:color="7C3AED"/>
      </w:pBdr>
    </w:pPr>
    <w:r/>
    <w:r>
      <w:rPr>
        <w:color w:val="5B6471"/>
        <w:sz w:val="16"/>
      </w:rPr>
      <w:t>BvLogic  |  Sales: standard operating procedures</w:t>
    </w:r>
    <w:r>
      <w:tab/>
      <w:tab/>
    </w:r>
    <w:r>
      <w:rPr>
        <w:color w:val="5B6471"/>
        <w:sz w:val="16"/>
      </w:rPr>
      <w:t>Public</w:t>
    </w:r>
  </w:p>
  <w:p>
    <w:pPr>
      <w:spacing w:after="0"/>
    </w:pPr>
    <w:r>
      <w:pict>
        <v:shapetype id="_x0000_t136" coordsize="21600,21600" o:spt="136" adj="10800" path="m@7,0l@8,0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shapetype>
        <v:shape id="BvLogicWatermark" o:spid="_x0000_s2049" type="#_x0000_t136" style="position:absolute;margin-left:0;margin-top:0;width:440pt;height:150pt;             rotation:315;z-index:-251658752;mso-position-horizontal:center;             mso-position-horizontal-relative:margin;mso-position-vertical:center;             mso-position-vertical-relative:margin" o:allowincell="f" fillcolor="#D9D9D9" stroked="f">
          <v:fill opacity="0.55"/>
          <v:textpath style="font-family:&quot;Georgia&quot;;font-weight:bold;v-text-kern:t" trim="t" fitpath="t" string="BvLogic"/>
        </v:shape>
      </w:pic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20" w:line="276" w:lineRule="auto"/>
    </w:pPr>
    <w:rPr>
      <w:rFonts w:ascii="Calibri" w:hAnsi="Calibri"/>
      <w:color w:val="0F141A"/>
      <w:sz w:val="21"/>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280" w:after="80"/>
      <w:outlineLvl w:val="0"/>
    </w:pPr>
    <w:rPr>
      <w:rFonts w:asciiTheme="majorHAnsi" w:eastAsiaTheme="majorEastAsia" w:hAnsiTheme="majorHAnsi" w:cstheme="majorBidi" w:ascii="Georgia" w:hAnsi="Georgia"/>
      <w:b/>
      <w:bCs/>
      <w:color w:val="7C3AED"/>
      <w:sz w:val="36"/>
      <w:szCs w:val="28"/>
    </w:rPr>
  </w:style>
  <w:style w:type="paragraph" w:styleId="Heading2">
    <w:name w:val="heading 2"/>
    <w:basedOn w:val="Normal"/>
    <w:next w:val="Normal"/>
    <w:link w:val="Heading2Char"/>
    <w:uiPriority w:val="9"/>
    <w:unhideWhenUsed/>
    <w:qFormat/>
    <w:rsid w:val="00FC693F"/>
    <w:pPr>
      <w:keepNext/>
      <w:keepLines/>
      <w:spacing w:before="280" w:after="80"/>
      <w:outlineLvl w:val="1"/>
    </w:pPr>
    <w:rPr>
      <w:rFonts w:asciiTheme="majorHAnsi" w:eastAsiaTheme="majorEastAsia" w:hAnsiTheme="majorHAnsi" w:cstheme="majorBidi" w:ascii="Georgia" w:hAnsi="Georgia"/>
      <w:b/>
      <w:bCs/>
      <w:color w:val="7C3AED"/>
      <w:sz w:val="28"/>
      <w:szCs w:val="26"/>
    </w:rPr>
  </w:style>
  <w:style w:type="paragraph" w:styleId="Heading3">
    <w:name w:val="heading 3"/>
    <w:basedOn w:val="Normal"/>
    <w:next w:val="Normal"/>
    <w:link w:val="Heading3Char"/>
    <w:uiPriority w:val="9"/>
    <w:unhideWhenUsed/>
    <w:qFormat/>
    <w:rsid w:val="00FC693F"/>
    <w:pPr>
      <w:keepNext/>
      <w:keepLines/>
      <w:spacing w:before="200" w:after="80"/>
      <w:outlineLvl w:val="2"/>
    </w:pPr>
    <w:rPr>
      <w:rFonts w:asciiTheme="majorHAnsi" w:eastAsiaTheme="majorEastAsia" w:hAnsiTheme="majorHAnsi" w:cstheme="majorBidi" w:ascii="Georgia" w:hAnsi="Georgia"/>
      <w:b/>
      <w:bCs/>
      <w:color w:val="0F141A"/>
      <w:sz w:val="23"/>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header" Target="header2.xml"/><Relationship Id="rId11"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Sales: standard operating procedures</dc:title>
  <dc:subject/>
  <dc:creator>BvLogic</dc:creator>
  <cp:keywords>BvLogic, Sop, enterprise AI, Sales: standard operating procedures</cp:keywords>
  <dc:description/>
  <cp:lastModifiedBy/>
  <cp:revision>1</cp:revision>
  <dcterms:created xsi:type="dcterms:W3CDTF">2013-12-23T23:15:00Z</dcterms:created>
  <dcterms:modified xsi:type="dcterms:W3CDTF">2013-12-23T23:15:00Z</dcterms:modified>
  <cp:category>Sop</cp:category>
  <dc:language>en-GB</dc:language>
</cp:coreProperties>
</file>