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Risk Register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BVL-977B1E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Ten risks that are genuinely managed beat sixty that are catalogued. If a row cannot be acted</w:t>
      </w:r>
    </w:p>
    <w:p>
      <w:pPr>
        <w:ind w:left="454"/>
        <w:shd w:val="clear" w:color="auto" w:fill="FAFAFB"/>
      </w:pPr>
      <w:r>
        <w:rPr>
          <w:i/>
        </w:rPr>
        <w:t>on, it is a condition, not a project risk.</w:t>
      </w:r>
    </w:p>
    <w:p>
      <w:pPr>
        <w:ind w:left="454"/>
        <w:shd w:val="clear" w:color="auto" w:fill="FAFAFB"/>
      </w:pPr>
    </w:p>
    <w:p>
      <w:pPr>
        <w:ind w:left="454"/>
        <w:shd w:val="clear" w:color="auto" w:fill="FAFAFB"/>
      </w:pPr>
      <w:r>
        <w:rPr>
          <w:b/>
          <w:i/>
        </w:rPr>
        <w:t>Issues go in a different list.</w:t>
      </w:r>
      <w:r>
        <w:t xml:space="preserve"> A risk might happen; an issue has happened. Mixing them lets</w:t>
      </w:r>
    </w:p>
    <w:p>
      <w:pPr>
        <w:ind w:left="454"/>
        <w:shd w:val="clear" w:color="auto" w:fill="FAFAFB"/>
      </w:pPr>
      <w:r>
        <w:rPr>
          <w:i/>
        </w:rPr>
        <w:t>today's problems crowd out tomorrow's, which is the failure this register exists to prevent.</w:t>
      </w:r>
    </w:p>
    <w:p>
      <w:r>
        <w:rPr>
          <w:b/>
        </w:rPr>
        <w:t>Project:</w:t>
      </w:r>
      <w:r>
        <w:t xml:space="preserve"> _______________  </w:t>
      </w:r>
      <w:r>
        <w:rPr>
          <w:b/>
        </w:rPr>
        <w:t>Owner:</w:t>
      </w:r>
      <w:r>
        <w:t xml:space="preserve"> _______________ </w:t>
      </w:r>
      <w:r>
        <w:rPr>
          <w:b/>
        </w:rPr>
        <w:t>Last reviewed:</w:t>
      </w:r>
      <w:r>
        <w:t xml:space="preserve"> _______  </w:t>
      </w:r>
      <w:r>
        <w:rPr>
          <w:b/>
        </w:rPr>
        <w:t>Next review:</w:t>
      </w:r>
      <w:r>
        <w:t xml:space="preserve"> _______</w:t>
      </w:r>
    </w:p>
    <w:p>
      <w:pPr>
        <w:pStyle w:val="Heading1"/>
      </w:pPr>
      <w:r>
        <w:t>Define the scales first</w:t>
      </w:r>
    </w:p>
    <w:p>
      <w:r>
        <w:t xml:space="preserve">Undefined scales produce scores that vary by author and cannot be compared. Fill these in for </w:t>
      </w:r>
      <w:r>
        <w:rPr>
          <w:b/>
        </w:rPr>
        <w:t>this</w:t>
      </w:r>
      <w:r>
        <w:t xml:space="preserve"> project before scoring anything.</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Score</w:t>
            </w:r>
          </w:p>
        </w:tc>
        <w:tc>
          <w:tcPr>
            <w:tcW w:type="dxa" w:w="1882"/>
            <w:shd w:val="clear" w:color="auto" w:fill="F1EAFE"/>
          </w:tcPr>
          <w:p>
            <w:pPr>
              <w:spacing w:after="40"/>
            </w:pPr>
            <w:r>
              <w:rPr>
                <w:b/>
                <w:sz w:val="18"/>
              </w:rPr>
            </w:r>
            <w:r>
              <w:rPr>
                <w:b/>
                <w:sz w:val="18"/>
              </w:rPr>
              <w:t>Likelihood</w:t>
            </w:r>
          </w:p>
        </w:tc>
        <w:tc>
          <w:tcPr>
            <w:tcW w:type="dxa" w:w="1882"/>
            <w:shd w:val="clear" w:color="auto" w:fill="F1EAFE"/>
          </w:tcPr>
          <w:p>
            <w:pPr>
              <w:spacing w:after="40"/>
            </w:pPr>
            <w:r>
              <w:rPr>
                <w:b/>
                <w:sz w:val="18"/>
              </w:rPr>
            </w:r>
            <w:r>
              <w:rPr>
                <w:b/>
                <w:sz w:val="18"/>
              </w:rPr>
              <w:t>Impact, cost</w:t>
            </w:r>
          </w:p>
        </w:tc>
        <w:tc>
          <w:tcPr>
            <w:tcW w:type="dxa" w:w="1882"/>
            <w:shd w:val="clear" w:color="auto" w:fill="F1EAFE"/>
          </w:tcPr>
          <w:p>
            <w:pPr>
              <w:spacing w:after="40"/>
            </w:pPr>
            <w:r>
              <w:rPr>
                <w:b/>
                <w:sz w:val="18"/>
              </w:rPr>
            </w:r>
            <w:r>
              <w:rPr>
                <w:b/>
                <w:sz w:val="18"/>
              </w:rPr>
              <w:t>Impact, schedule</w:t>
            </w:r>
          </w:p>
        </w:tc>
        <w:tc>
          <w:tcPr>
            <w:tcW w:type="dxa" w:w="1882"/>
            <w:shd w:val="clear" w:color="auto" w:fill="F1EAFE"/>
          </w:tcPr>
          <w:p>
            <w:pPr>
              <w:spacing w:after="40"/>
            </w:pPr>
            <w:r>
              <w:rPr>
                <w:b/>
                <w:sz w:val="18"/>
              </w:rPr>
            </w:r>
            <w:r>
              <w:rPr>
                <w:b/>
                <w:sz w:val="18"/>
              </w:rPr>
              <w:t>Impact, other</w:t>
            </w:r>
          </w:p>
        </w:tc>
      </w:tr>
      <w:tr>
        <w:tc>
          <w:tcPr>
            <w:tcW w:type="dxa" w:w="1882"/>
          </w:tcPr>
          <w:p>
            <w:pPr>
              <w:spacing w:after="40"/>
            </w:pPr>
            <w:r>
              <w:rPr>
                <w:sz w:val="18"/>
              </w:rPr>
            </w:r>
            <w:r>
              <w:rPr>
                <w:sz w:val="18"/>
              </w:rPr>
              <w:t>5</w:t>
            </w:r>
          </w:p>
        </w:tc>
        <w:tc>
          <w:tcPr>
            <w:tcW w:type="dxa" w:w="1882"/>
          </w:tcPr>
          <w:p>
            <w:pPr>
              <w:spacing w:after="40"/>
            </w:pPr>
            <w:r>
              <w:rPr>
                <w:sz w:val="18"/>
              </w:rPr>
            </w:r>
            <w:r>
              <w:rPr>
                <w:sz w:val="18"/>
              </w:rPr>
              <w:t>almost certain</w:t>
            </w:r>
          </w:p>
        </w:tc>
        <w:tc>
          <w:tcPr>
            <w:tcW w:type="dxa" w:w="1882"/>
          </w:tcPr>
          <w:p>
            <w:pPr>
              <w:spacing w:after="40"/>
            </w:pPr>
            <w:r>
              <w:rPr>
                <w:sz w:val="18"/>
              </w:rPr>
            </w:r>
            <w:r>
              <w:rPr>
                <w:sz w:val="18"/>
              </w:rPr>
              <w:t>over ___</w:t>
            </w:r>
          </w:p>
        </w:tc>
        <w:tc>
          <w:tcPr>
            <w:tcW w:type="dxa" w:w="1882"/>
          </w:tcPr>
          <w:p>
            <w:pPr>
              <w:spacing w:after="40"/>
            </w:pPr>
            <w:r>
              <w:rPr>
                <w:sz w:val="18"/>
              </w:rPr>
            </w:r>
            <w:r>
              <w:rPr>
                <w:sz w:val="18"/>
              </w:rPr>
              <w:t>over ___</w:t>
            </w:r>
          </w:p>
        </w:tc>
        <w:tc>
          <w:tcPr>
            <w:tcW w:type="dxa" w:w="1882"/>
          </w:tcPr>
          <w:p>
            <w:pPr>
              <w:spacing w:after="40"/>
            </w:pPr>
            <w:r>
              <w:rPr>
                <w:sz w:val="18"/>
              </w:rPr>
            </w:r>
            <w:r>
              <w:rPr>
                <w:sz w:val="18"/>
              </w:rPr>
              <w:t>regulatory breach / customer-visible outage</w:t>
            </w:r>
          </w:p>
        </w:tc>
      </w:tr>
      <w:tr>
        <w:tc>
          <w:tcPr>
            <w:tcW w:type="dxa" w:w="1882"/>
          </w:tcPr>
          <w:p>
            <w:pPr>
              <w:spacing w:after="40"/>
            </w:pPr>
            <w:r>
              <w:rPr>
                <w:sz w:val="18"/>
              </w:rPr>
            </w:r>
            <w:r>
              <w:rPr>
                <w:sz w:val="18"/>
              </w:rPr>
              <w:t>4</w:t>
            </w:r>
          </w:p>
        </w:tc>
        <w:tc>
          <w:tcPr>
            <w:tcW w:type="dxa" w:w="1882"/>
          </w:tcPr>
          <w:p>
            <w:pPr>
              <w:spacing w:after="40"/>
            </w:pPr>
            <w:r>
              <w:rPr>
                <w:sz w:val="18"/>
              </w:rPr>
            </w:r>
            <w:r>
              <w:rPr>
                <w:sz w:val="18"/>
              </w:rPr>
              <w:t>likely</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3</w:t>
            </w:r>
          </w:p>
        </w:tc>
        <w:tc>
          <w:tcPr>
            <w:tcW w:type="dxa" w:w="1882"/>
          </w:tcPr>
          <w:p>
            <w:pPr>
              <w:spacing w:after="40"/>
            </w:pPr>
            <w:r>
              <w:rPr>
                <w:sz w:val="18"/>
              </w:rPr>
            </w:r>
            <w:r>
              <w:rPr>
                <w:sz w:val="18"/>
              </w:rPr>
              <w:t>possible</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2</w:t>
            </w:r>
          </w:p>
        </w:tc>
        <w:tc>
          <w:tcPr>
            <w:tcW w:type="dxa" w:w="1882"/>
          </w:tcPr>
          <w:p>
            <w:pPr>
              <w:spacing w:after="40"/>
            </w:pPr>
            <w:r>
              <w:rPr>
                <w:sz w:val="18"/>
              </w:rPr>
            </w:r>
            <w:r>
              <w:rPr>
                <w:sz w:val="18"/>
              </w:rPr>
              <w:t>unlikely</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1</w:t>
            </w:r>
          </w:p>
        </w:tc>
        <w:tc>
          <w:tcPr>
            <w:tcW w:type="dxa" w:w="1882"/>
          </w:tcPr>
          <w:p>
            <w:pPr>
              <w:spacing w:after="40"/>
            </w:pPr>
            <w:r>
              <w:rPr>
                <w:sz w:val="18"/>
              </w:rPr>
            </w:r>
            <w:r>
              <w:rPr>
                <w:sz w:val="18"/>
              </w:rPr>
              <w:t>rare</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pPr>
        <w:pStyle w:val="Heading1"/>
      </w:pPr>
      <w:r>
        <w:t>The register</w:t>
      </w:r>
    </w:p>
    <w:p>
      <w:r>
        <w:t xml:space="preserve">Write each risk as </w:t>
      </w:r>
      <w:r>
        <w:rPr>
          <w:b/>
        </w:rPr>
        <w:t>cause → event → effect</w:t>
      </w:r>
      <w:r>
        <w:t>. It forces you to name the cause, which is usually the only part you can act on.</w:t>
      </w:r>
    </w:p>
    <w:tbl>
      <w:tblPr>
        <w:tblStyle w:val="TableGrid"/>
        <w:tblW w:type="auto" w:w="0"/>
        <w:tblLook w:firstColumn="1" w:firstRow="1" w:lastColumn="0" w:lastRow="0" w:noHBand="0" w:noVBand="1" w:val="04A0"/>
      </w:tblPr>
      <w:tblGrid>
        <w:gridCol w:w="941"/>
        <w:gridCol w:w="941"/>
        <w:gridCol w:w="941"/>
        <w:gridCol w:w="941"/>
        <w:gridCol w:w="941"/>
        <w:gridCol w:w="941"/>
        <w:gridCol w:w="941"/>
        <w:gridCol w:w="941"/>
        <w:gridCol w:w="941"/>
        <w:gridCol w:w="941"/>
      </w:tblGrid>
      <w:tr>
        <w:trPr>
          <w:tblHeader w:val="true"/>
        </w:trPr>
        <w:tc>
          <w:tcPr>
            <w:tcW w:type="dxa" w:w="941"/>
            <w:shd w:val="clear" w:color="auto" w:fill="F1EAFE"/>
          </w:tcPr>
          <w:p>
            <w:pPr>
              <w:spacing w:after="40"/>
            </w:pPr>
            <w:r>
              <w:rPr>
                <w:b/>
                <w:sz w:val="18"/>
              </w:rPr>
            </w:r>
            <w:r>
              <w:rPr>
                <w:b/>
                <w:sz w:val="18"/>
              </w:rPr>
              <w:t>ID</w:t>
            </w:r>
          </w:p>
        </w:tc>
        <w:tc>
          <w:tcPr>
            <w:tcW w:type="dxa" w:w="941"/>
            <w:shd w:val="clear" w:color="auto" w:fill="F1EAFE"/>
          </w:tcPr>
          <w:p>
            <w:pPr>
              <w:spacing w:after="40"/>
            </w:pPr>
            <w:r>
              <w:rPr>
                <w:b/>
                <w:sz w:val="18"/>
              </w:rPr>
            </w:r>
            <w:r>
              <w:rPr>
                <w:b/>
                <w:sz w:val="18"/>
              </w:rPr>
              <w:t>Risk (because… there is a risk that… resulting in…)</w:t>
            </w:r>
          </w:p>
        </w:tc>
        <w:tc>
          <w:tcPr>
            <w:tcW w:type="dxa" w:w="941"/>
            <w:shd w:val="clear" w:color="auto" w:fill="F1EAFE"/>
          </w:tcPr>
          <w:p>
            <w:pPr>
              <w:spacing w:after="40"/>
            </w:pPr>
            <w:r>
              <w:rPr>
                <w:b/>
                <w:sz w:val="18"/>
              </w:rPr>
            </w:r>
            <w:r>
              <w:rPr>
                <w:b/>
                <w:sz w:val="18"/>
              </w:rPr>
              <w:t>L</w:t>
            </w:r>
          </w:p>
        </w:tc>
        <w:tc>
          <w:tcPr>
            <w:tcW w:type="dxa" w:w="941"/>
            <w:shd w:val="clear" w:color="auto" w:fill="F1EAFE"/>
          </w:tcPr>
          <w:p>
            <w:pPr>
              <w:spacing w:after="40"/>
            </w:pPr>
            <w:r>
              <w:rPr>
                <w:b/>
                <w:sz w:val="18"/>
              </w:rPr>
            </w:r>
            <w:r>
              <w:rPr>
                <w:b/>
                <w:sz w:val="18"/>
              </w:rPr>
              <w:t>I</w:t>
            </w:r>
          </w:p>
        </w:tc>
        <w:tc>
          <w:tcPr>
            <w:tcW w:type="dxa" w:w="941"/>
            <w:shd w:val="clear" w:color="auto" w:fill="F1EAFE"/>
          </w:tcPr>
          <w:p>
            <w:pPr>
              <w:spacing w:after="40"/>
            </w:pPr>
            <w:r>
              <w:rPr>
                <w:b/>
                <w:sz w:val="18"/>
              </w:rPr>
            </w:r>
            <w:r>
              <w:rPr>
                <w:b/>
                <w:sz w:val="18"/>
              </w:rPr>
              <w:t>Score</w:t>
            </w:r>
          </w:p>
        </w:tc>
        <w:tc>
          <w:tcPr>
            <w:tcW w:type="dxa" w:w="941"/>
            <w:shd w:val="clear" w:color="auto" w:fill="F1EAFE"/>
          </w:tcPr>
          <w:p>
            <w:pPr>
              <w:spacing w:after="40"/>
            </w:pPr>
            <w:r>
              <w:rPr>
                <w:b/>
                <w:sz w:val="18"/>
              </w:rPr>
            </w:r>
            <w:r>
              <w:rPr>
                <w:b/>
                <w:sz w:val="18"/>
              </w:rPr>
              <w:t>Owner (person)</w:t>
            </w:r>
          </w:p>
        </w:tc>
        <w:tc>
          <w:tcPr>
            <w:tcW w:type="dxa" w:w="941"/>
            <w:shd w:val="clear" w:color="auto" w:fill="F1EAFE"/>
          </w:tcPr>
          <w:p>
            <w:pPr>
              <w:spacing w:after="40"/>
            </w:pPr>
            <w:r>
              <w:rPr>
                <w:b/>
                <w:sz w:val="18"/>
              </w:rPr>
            </w:r>
            <w:r>
              <w:rPr>
                <w:b/>
                <w:sz w:val="18"/>
              </w:rPr>
              <w:t>Response</w:t>
            </w:r>
          </w:p>
        </w:tc>
        <w:tc>
          <w:tcPr>
            <w:tcW w:type="dxa" w:w="941"/>
            <w:shd w:val="clear" w:color="auto" w:fill="F1EAFE"/>
          </w:tcPr>
          <w:p>
            <w:pPr>
              <w:spacing w:after="40"/>
            </w:pPr>
            <w:r>
              <w:rPr>
                <w:b/>
                <w:sz w:val="18"/>
              </w:rPr>
            </w:r>
            <w:r>
              <w:rPr>
                <w:b/>
                <w:sz w:val="18"/>
              </w:rPr>
              <w:t>Action</w:t>
            </w:r>
          </w:p>
        </w:tc>
        <w:tc>
          <w:tcPr>
            <w:tcW w:type="dxa" w:w="941"/>
            <w:shd w:val="clear" w:color="auto" w:fill="F1EAFE"/>
          </w:tcPr>
          <w:p>
            <w:pPr>
              <w:spacing w:after="40"/>
            </w:pPr>
            <w:r>
              <w:rPr>
                <w:b/>
                <w:sz w:val="18"/>
              </w:rPr>
            </w:r>
            <w:r>
              <w:rPr>
                <w:b/>
                <w:sz w:val="18"/>
              </w:rPr>
              <w:t>Due</w:t>
            </w:r>
          </w:p>
        </w:tc>
        <w:tc>
          <w:tcPr>
            <w:tcW w:type="dxa" w:w="941"/>
            <w:shd w:val="clear" w:color="auto" w:fill="F1EAFE"/>
          </w:tcPr>
          <w:p>
            <w:pPr>
              <w:spacing w:after="40"/>
            </w:pPr>
            <w:r>
              <w:rPr>
                <w:b/>
                <w:sz w:val="18"/>
              </w:rPr>
            </w:r>
            <w:r>
              <w:rPr>
                <w:b/>
                <w:sz w:val="18"/>
              </w:rPr>
              <w:t>Status</w:t>
            </w:r>
          </w:p>
        </w:tc>
      </w:tr>
      <w:tr>
        <w:tc>
          <w:tcPr>
            <w:tcW w:type="dxa" w:w="941"/>
          </w:tcPr>
          <w:p>
            <w:pPr>
              <w:spacing w:after="40"/>
            </w:pPr>
            <w:r>
              <w:rPr>
                <w:sz w:val="18"/>
              </w:rPr>
            </w:r>
            <w:r>
              <w:rPr>
                <w:sz w:val="18"/>
              </w:rPr>
              <w:t>R1</w:t>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r>
              <w:rPr>
                <w:sz w:val="18"/>
              </w:rPr>
              <w:t>avoid / reduce / transfer / accept</w:t>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r>
              <w:rPr>
                <w:sz w:val="18"/>
              </w:rPr>
              <w:t>open</w:t>
            </w:r>
          </w:p>
        </w:tc>
      </w:tr>
      <w:tr>
        <w:tc>
          <w:tcPr>
            <w:tcW w:type="dxa" w:w="941"/>
          </w:tcPr>
          <w:p>
            <w:pPr>
              <w:spacing w:after="40"/>
            </w:pPr>
            <w:r>
              <w:rPr>
                <w:sz w:val="18"/>
              </w:rPr>
            </w:r>
            <w:r>
              <w:rPr>
                <w:sz w:val="18"/>
              </w:rPr>
              <w:t>R2</w:t>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c>
          <w:tcPr>
            <w:tcW w:type="dxa" w:w="941"/>
          </w:tcPr>
          <w:p>
            <w:pPr>
              <w:spacing w:after="40"/>
            </w:pPr>
            <w:r>
              <w:rPr>
                <w:sz w:val="18"/>
              </w:rPr>
            </w:r>
          </w:p>
        </w:tc>
      </w:tr>
    </w:tbl>
    <w:p>
      <w:pPr>
        <w:spacing w:after="40"/>
      </w:pPr>
    </w:p>
    <w:p>
      <w:r>
        <w:rPr>
          <w:b/>
        </w:rPr>
        <w:t>Response definitions: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Response</w:t>
            </w:r>
          </w:p>
        </w:tc>
        <w:tc>
          <w:tcPr>
            <w:tcW w:type="dxa" w:w="3137"/>
            <w:shd w:val="clear" w:color="auto" w:fill="F1EAFE"/>
          </w:tcPr>
          <w:p>
            <w:pPr>
              <w:spacing w:after="40"/>
            </w:pPr>
            <w:r>
              <w:rPr>
                <w:b/>
                <w:sz w:val="18"/>
              </w:rPr>
            </w:r>
            <w:r>
              <w:rPr>
                <w:b/>
                <w:sz w:val="18"/>
              </w:rPr>
              <w:t>Means</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Avoid</w:t>
            </w:r>
          </w:p>
        </w:tc>
        <w:tc>
          <w:tcPr>
            <w:tcW w:type="dxa" w:w="3137"/>
          </w:tcPr>
          <w:p>
            <w:pPr>
              <w:spacing w:after="40"/>
            </w:pPr>
            <w:r>
              <w:rPr>
                <w:sz w:val="18"/>
              </w:rPr>
            </w:r>
            <w:r>
              <w:rPr>
                <w:sz w:val="18"/>
              </w:rPr>
              <w:t>Change the plan so it cannot occur</w:t>
            </w:r>
          </w:p>
        </w:tc>
        <w:tc>
          <w:tcPr>
            <w:tcW w:type="dxa" w:w="3137"/>
          </w:tcPr>
          <w:p>
            <w:pPr>
              <w:spacing w:after="40"/>
            </w:pPr>
            <w:r>
              <w:rPr>
                <w:sz w:val="18"/>
              </w:rPr>
            </w:r>
            <w:r>
              <w:rPr>
                <w:sz w:val="18"/>
              </w:rPr>
              <w:t>Usually cheapest, least considered</w:t>
            </w:r>
          </w:p>
        </w:tc>
      </w:tr>
      <w:tr>
        <w:tc>
          <w:tcPr>
            <w:tcW w:type="dxa" w:w="3137"/>
          </w:tcPr>
          <w:p>
            <w:pPr>
              <w:spacing w:after="40"/>
            </w:pPr>
            <w:r>
              <w:rPr>
                <w:sz w:val="18"/>
              </w:rPr>
            </w:r>
            <w:r>
              <w:rPr>
                <w:sz w:val="18"/>
              </w:rPr>
              <w:t>Reduce</w:t>
            </w:r>
          </w:p>
        </w:tc>
        <w:tc>
          <w:tcPr>
            <w:tcW w:type="dxa" w:w="3137"/>
          </w:tcPr>
          <w:p>
            <w:pPr>
              <w:spacing w:after="40"/>
            </w:pPr>
            <w:r>
              <w:rPr>
                <w:sz w:val="18"/>
              </w:rPr>
            </w:r>
            <w:r>
              <w:rPr>
                <w:sz w:val="18"/>
              </w:rPr>
              <w:t>Lower likelihood or impact</w:t>
            </w:r>
          </w:p>
        </w:tc>
        <w:tc>
          <w:tcPr>
            <w:tcW w:type="dxa" w:w="3137"/>
          </w:tcPr>
          <w:p>
            <w:pPr>
              <w:spacing w:after="40"/>
            </w:pPr>
            <w:r>
              <w:rPr>
                <w:sz w:val="18"/>
              </w:rPr>
            </w:r>
            <w:r>
              <w:rPr>
                <w:sz w:val="18"/>
              </w:rPr>
              <w:t>Needs a specific action, owner and date</w:t>
            </w:r>
          </w:p>
        </w:tc>
      </w:tr>
      <w:tr>
        <w:tc>
          <w:tcPr>
            <w:tcW w:type="dxa" w:w="3137"/>
          </w:tcPr>
          <w:p>
            <w:pPr>
              <w:spacing w:after="40"/>
            </w:pPr>
            <w:r>
              <w:rPr>
                <w:sz w:val="18"/>
              </w:rPr>
            </w:r>
            <w:r>
              <w:rPr>
                <w:sz w:val="18"/>
              </w:rPr>
              <w:t>Transfer</w:t>
            </w:r>
          </w:p>
        </w:tc>
        <w:tc>
          <w:tcPr>
            <w:tcW w:type="dxa" w:w="3137"/>
          </w:tcPr>
          <w:p>
            <w:pPr>
              <w:spacing w:after="40"/>
            </w:pPr>
            <w:r>
              <w:rPr>
                <w:sz w:val="18"/>
              </w:rPr>
            </w:r>
            <w:r>
              <w:rPr>
                <w:sz w:val="18"/>
              </w:rPr>
              <w:t>Contract, insurance, supplier obligation</w:t>
            </w:r>
          </w:p>
        </w:tc>
        <w:tc>
          <w:tcPr>
            <w:tcW w:type="dxa" w:w="3137"/>
          </w:tcPr>
          <w:p>
            <w:pPr>
              <w:spacing w:after="40"/>
            </w:pPr>
            <w:r>
              <w:rPr>
                <w:sz w:val="18"/>
              </w:rPr>
            </w:r>
            <w:r>
              <w:rPr>
                <w:sz w:val="18"/>
              </w:rPr>
              <w:t>Transfers cost, not operational consequence</w:t>
            </w:r>
          </w:p>
        </w:tc>
      </w:tr>
      <w:tr>
        <w:tc>
          <w:tcPr>
            <w:tcW w:type="dxa" w:w="3137"/>
          </w:tcPr>
          <w:p>
            <w:pPr>
              <w:spacing w:after="40"/>
            </w:pPr>
            <w:r>
              <w:rPr>
                <w:sz w:val="18"/>
              </w:rPr>
            </w:r>
            <w:r>
              <w:rPr>
                <w:sz w:val="18"/>
              </w:rPr>
              <w:t>Accept</w:t>
            </w:r>
          </w:p>
        </w:tc>
        <w:tc>
          <w:tcPr>
            <w:tcW w:type="dxa" w:w="3137"/>
          </w:tcPr>
          <w:p>
            <w:pPr>
              <w:spacing w:after="40"/>
            </w:pPr>
            <w:r>
              <w:rPr>
                <w:sz w:val="18"/>
              </w:rPr>
            </w:r>
            <w:r>
              <w:rPr>
                <w:sz w:val="18"/>
              </w:rPr>
              <w:t>Live with it, deliberately, on the record</w:t>
            </w:r>
          </w:p>
        </w:tc>
        <w:tc>
          <w:tcPr>
            <w:tcW w:type="dxa" w:w="3137"/>
          </w:tcPr>
          <w:p>
            <w:pPr>
              <w:spacing w:after="40"/>
            </w:pPr>
            <w:r>
              <w:rPr>
                <w:sz w:val="18"/>
              </w:rPr>
            </w:r>
            <w:r>
              <w:rPr>
                <w:sz w:val="18"/>
              </w:rPr>
              <w:t>Needs a trigger for reconsidering</w:t>
            </w:r>
          </w:p>
        </w:tc>
      </w:tr>
    </w:tbl>
    <w:p>
      <w:pPr>
        <w:spacing w:after="40"/>
      </w:pPr>
    </w:p>
    <w:p>
      <w:r>
        <w:t>A risk owned by "the project" or by the project manager for all thirty rows gets reported on rather than acted on. The owner must be someone who can actually influence it.</w:t>
      </w:r>
    </w:p>
    <w:p>
      <w:pPr>
        <w:pStyle w:val="Heading1"/>
      </w:pPr>
      <w:r>
        <w:t>Accepted risks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ID</w:t>
            </w:r>
          </w:p>
        </w:tc>
        <w:tc>
          <w:tcPr>
            <w:tcW w:type="dxa" w:w="1882"/>
            <w:shd w:val="clear" w:color="auto" w:fill="F1EAFE"/>
          </w:tcPr>
          <w:p>
            <w:pPr>
              <w:spacing w:after="40"/>
            </w:pPr>
            <w:r>
              <w:rPr>
                <w:b/>
                <w:sz w:val="18"/>
              </w:rPr>
            </w:r>
            <w:r>
              <w:rPr>
                <w:b/>
                <w:sz w:val="18"/>
              </w:rPr>
              <w:t>Risk</w:t>
            </w:r>
          </w:p>
        </w:tc>
        <w:tc>
          <w:tcPr>
            <w:tcW w:type="dxa" w:w="1882"/>
            <w:shd w:val="clear" w:color="auto" w:fill="F1EAFE"/>
          </w:tcPr>
          <w:p>
            <w:pPr>
              <w:spacing w:after="40"/>
            </w:pPr>
            <w:r>
              <w:rPr>
                <w:b/>
                <w:sz w:val="18"/>
              </w:rPr>
            </w:r>
            <w:r>
              <w:rPr>
                <w:b/>
                <w:sz w:val="18"/>
              </w:rPr>
              <w:t>Accepted by</w:t>
            </w:r>
          </w:p>
        </w:tc>
        <w:tc>
          <w:tcPr>
            <w:tcW w:type="dxa" w:w="1882"/>
            <w:shd w:val="clear" w:color="auto" w:fill="F1EAFE"/>
          </w:tcPr>
          <w:p>
            <w:pPr>
              <w:spacing w:after="40"/>
            </w:pPr>
            <w:r>
              <w:rPr>
                <w:b/>
                <w:sz w:val="18"/>
              </w:rPr>
            </w:r>
            <w:r>
              <w:rPr>
                <w:b/>
                <w:sz w:val="18"/>
              </w:rPr>
              <w:t>Date</w:t>
            </w:r>
          </w:p>
        </w:tc>
        <w:tc>
          <w:tcPr>
            <w:tcW w:type="dxa" w:w="1882"/>
            <w:shd w:val="clear" w:color="auto" w:fill="F1EAFE"/>
          </w:tcPr>
          <w:p>
            <w:pPr>
              <w:spacing w:after="40"/>
            </w:pPr>
            <w:r>
              <w:rPr>
                <w:b/>
                <w:sz w:val="18"/>
              </w:rPr>
            </w:r>
            <w:r>
              <w:rPr>
                <w:b/>
                <w:sz w:val="18"/>
              </w:rPr>
              <w:t>Trigger to reconsider</w:t>
            </w:r>
          </w:p>
        </w:tc>
      </w:tr>
    </w:tbl>
    <w:p>
      <w:pPr>
        <w:spacing w:after="40"/>
      </w:pPr>
    </w:p>
    <w:p>
      <w:r>
        <w:t>Accepting a risk explicitly is a legitimate and underused decision. Accepting it silently is not.</w:t>
      </w:r>
    </w:p>
    <w:p>
      <w:pPr>
        <w:pStyle w:val="Heading1"/>
      </w:pPr>
      <w:r>
        <w:t>Closed risks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ID</w:t>
            </w:r>
          </w:p>
        </w:tc>
        <w:tc>
          <w:tcPr>
            <w:tcW w:type="dxa" w:w="2353"/>
            <w:shd w:val="clear" w:color="auto" w:fill="F1EAFE"/>
          </w:tcPr>
          <w:p>
            <w:pPr>
              <w:spacing w:after="40"/>
            </w:pPr>
            <w:r>
              <w:rPr>
                <w:b/>
                <w:sz w:val="18"/>
              </w:rPr>
            </w:r>
            <w:r>
              <w:rPr>
                <w:b/>
                <w:sz w:val="18"/>
              </w:rPr>
              <w:t>Risk</w:t>
            </w:r>
          </w:p>
        </w:tc>
        <w:tc>
          <w:tcPr>
            <w:tcW w:type="dxa" w:w="2353"/>
            <w:shd w:val="clear" w:color="auto" w:fill="F1EAFE"/>
          </w:tcPr>
          <w:p>
            <w:pPr>
              <w:spacing w:after="40"/>
            </w:pPr>
            <w:r>
              <w:rPr>
                <w:b/>
                <w:sz w:val="18"/>
              </w:rPr>
            </w:r>
            <w:r>
              <w:rPr>
                <w:b/>
                <w:sz w:val="18"/>
              </w:rPr>
              <w:t>Why closed</w:t>
            </w:r>
          </w:p>
        </w:tc>
        <w:tc>
          <w:tcPr>
            <w:tcW w:type="dxa" w:w="2353"/>
            <w:shd w:val="clear" w:color="auto" w:fill="F1EAFE"/>
          </w:tcPr>
          <w:p>
            <w:pPr>
              <w:spacing w:after="40"/>
            </w:pPr>
            <w:r>
              <w:rPr>
                <w:b/>
                <w:sz w:val="18"/>
              </w:rPr>
            </w:r>
            <w:r>
              <w:rPr>
                <w:b/>
                <w:sz w:val="18"/>
              </w:rPr>
              <w:t>Date</w:t>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passed / mitigated / became issue ___</w:t>
            </w:r>
          </w:p>
        </w:tc>
        <w:tc>
          <w:tcPr>
            <w:tcW w:type="dxa" w:w="2353"/>
          </w:tcPr>
          <w:p>
            <w:pPr>
              <w:spacing w:after="40"/>
            </w:pPr>
            <w:r>
              <w:rPr>
                <w:sz w:val="18"/>
              </w:rPr>
            </w:r>
          </w:p>
        </w:tc>
      </w:tr>
    </w:tbl>
    <w:p>
      <w:pPr>
        <w:spacing w:after="40"/>
      </w:pPr>
    </w:p>
    <w:p>
      <w:r>
        <w:t>A register that only grows stops being read. Close things.</w:t>
      </w:r>
    </w:p>
    <w:p>
      <w:pPr>
        <w:pStyle w:val="Heading1"/>
      </w:pPr>
      <w:r>
        <w:t>The review: five questions, fifteen minutes</w:t>
      </w:r>
    </w:p>
    <w:p>
      <w:r>
        <w:t>Not a read-through of the same twenty rows.</w:t>
      </w:r>
    </w:p>
    <w:p>
      <w:pPr>
        <w:pStyle w:val="ListNumber"/>
      </w:pPr>
      <w:r>
        <w:rPr>
          <w:b/>
        </w:rPr>
        <w:t>Movement.</w:t>
      </w:r>
      <w:r>
        <w:t xml:space="preserve"> Which scores changed since last time, and what caused the change.</w:t>
      </w:r>
    </w:p>
    <w:p>
      <w:pPr>
        <w:pStyle w:val="ListNumber"/>
      </w:pPr>
      <w:r>
        <w:rPr>
          <w:b/>
        </w:rPr>
        <w:t>Additions.</w:t>
      </w:r>
      <w:r>
        <w:t xml:space="preserve"> Anything arising from new dependencies, commitments or information.</w:t>
      </w:r>
    </w:p>
    <w:p>
      <w:pPr>
        <w:pStyle w:val="ListNumber"/>
      </w:pPr>
      <w:r>
        <w:rPr>
          <w:b/>
        </w:rPr>
        <w:t>Retirements.</w:t>
      </w:r>
      <w:r>
        <w:t xml:space="preserve"> Risks that can no longer occur. Close them here, not "later".</w:t>
      </w:r>
    </w:p>
    <w:p>
      <w:pPr>
        <w:pStyle w:val="ListNumber"/>
      </w:pPr>
      <w:r>
        <w:rPr>
          <w:b/>
        </w:rPr>
        <w:t>Overdue mitigations.</w:t>
      </w:r>
      <w:r>
        <w:t xml:space="preserve"> Actions past their date. Work this list first; it is the one that</w:t>
      </w:r>
    </w:p>
    <w:p>
      <w:r>
        <w:t>most often goes unread.</w:t>
      </w:r>
    </w:p>
    <w:p>
      <w:pPr>
        <w:pStyle w:val="ListNumber"/>
      </w:pPr>
      <w:r>
        <w:rPr>
          <w:b/>
        </w:rPr>
        <w:t>Realised risks.</w:t>
      </w:r>
      <w:r>
        <w:t xml:space="preserve"> Anything that became an issue, plus a note on what this register said</w:t>
      </w:r>
    </w:p>
    <w:p>
      <w:r>
        <w:t>about it in advance. Comparing the two is how the team's scoring gets better.</w:t>
      </w:r>
    </w:p>
    <w:p>
      <w:pPr>
        <w:pStyle w:val="Heading1"/>
      </w:pPr>
      <w:r>
        <w:t>Health check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Risks scored medium</w:t>
            </w:r>
          </w:p>
        </w:tc>
        <w:tc>
          <w:tcPr>
            <w:tcW w:type="dxa" w:w="4706"/>
            <w:shd w:val="clear" w:color="auto" w:fill="F1EAFE"/>
          </w:tcPr>
          <w:p>
            <w:pPr>
              <w:spacing w:after="40"/>
            </w:pPr>
            <w:r>
              <w:rPr>
                <w:b/>
                <w:sz w:val="18"/>
              </w:rPr>
            </w:r>
            <w:r>
              <w:rPr>
                <w:b/>
                <w:sz w:val="18"/>
              </w:rPr>
              <w:t>___ of ___</w:t>
            </w:r>
          </w:p>
        </w:tc>
      </w:tr>
      <w:tr>
        <w:tc>
          <w:tcPr>
            <w:tcW w:type="dxa" w:w="4706"/>
          </w:tcPr>
          <w:p>
            <w:pPr>
              <w:spacing w:after="40"/>
            </w:pPr>
            <w:r>
              <w:rPr>
                <w:sz w:val="18"/>
              </w:rPr>
            </w:r>
            <w:r>
              <w:rPr>
                <w:sz w:val="18"/>
              </w:rPr>
              <w:t>Risks owned by the project manager</w:t>
            </w:r>
          </w:p>
        </w:tc>
        <w:tc>
          <w:tcPr>
            <w:tcW w:type="dxa" w:w="4706"/>
          </w:tcPr>
          <w:p>
            <w:pPr>
              <w:spacing w:after="40"/>
            </w:pPr>
            <w:r>
              <w:rPr>
                <w:sz w:val="18"/>
              </w:rPr>
            </w:r>
            <w:r>
              <w:rPr>
                <w:sz w:val="18"/>
              </w:rPr>
              <w:t>___ of ___</w:t>
            </w:r>
          </w:p>
        </w:tc>
      </w:tr>
      <w:tr>
        <w:tc>
          <w:tcPr>
            <w:tcW w:type="dxa" w:w="4706"/>
          </w:tcPr>
          <w:p>
            <w:pPr>
              <w:spacing w:after="40"/>
            </w:pPr>
            <w:r>
              <w:rPr>
                <w:sz w:val="18"/>
              </w:rPr>
            </w:r>
            <w:r>
              <w:rPr>
                <w:sz w:val="18"/>
              </w:rPr>
              <w:t>Mitigations with no date</w:t>
            </w:r>
          </w:p>
        </w:tc>
        <w:tc>
          <w:tcPr>
            <w:tcW w:type="dxa" w:w="4706"/>
          </w:tcPr>
          <w:p>
            <w:pPr>
              <w:spacing w:after="40"/>
            </w:pPr>
            <w:r>
              <w:rPr>
                <w:sz w:val="18"/>
              </w:rPr>
            </w:r>
            <w:r>
              <w:rPr>
                <w:sz w:val="18"/>
              </w:rPr>
              <w:t>___</w:t>
            </w:r>
          </w:p>
        </w:tc>
      </w:tr>
      <w:tr>
        <w:tc>
          <w:tcPr>
            <w:tcW w:type="dxa" w:w="4706"/>
          </w:tcPr>
          <w:p>
            <w:pPr>
              <w:spacing w:after="40"/>
            </w:pPr>
            <w:r>
              <w:rPr>
                <w:sz w:val="18"/>
              </w:rPr>
            </w:r>
            <w:r>
              <w:rPr>
                <w:sz w:val="18"/>
              </w:rPr>
              <w:t>Mitigations overdue</w:t>
            </w:r>
          </w:p>
        </w:tc>
        <w:tc>
          <w:tcPr>
            <w:tcW w:type="dxa" w:w="4706"/>
          </w:tcPr>
          <w:p>
            <w:pPr>
              <w:spacing w:after="40"/>
            </w:pPr>
            <w:r>
              <w:rPr>
                <w:sz w:val="18"/>
              </w:rPr>
            </w:r>
            <w:r>
              <w:rPr>
                <w:sz w:val="18"/>
              </w:rPr>
              <w:t>___</w:t>
            </w:r>
          </w:p>
        </w:tc>
      </w:tr>
      <w:tr>
        <w:tc>
          <w:tcPr>
            <w:tcW w:type="dxa" w:w="4706"/>
          </w:tcPr>
          <w:p>
            <w:pPr>
              <w:spacing w:after="40"/>
            </w:pPr>
            <w:r>
              <w:rPr>
                <w:sz w:val="18"/>
              </w:rPr>
            </w:r>
            <w:r>
              <w:rPr>
                <w:sz w:val="18"/>
              </w:rPr>
              <w:t>Risks closed since last review</w:t>
            </w:r>
          </w:p>
        </w:tc>
        <w:tc>
          <w:tcPr>
            <w:tcW w:type="dxa" w:w="4706"/>
          </w:tcPr>
          <w:p>
            <w:pPr>
              <w:spacing w:after="40"/>
            </w:pPr>
            <w:r>
              <w:rPr>
                <w:sz w:val="18"/>
              </w:rPr>
            </w:r>
            <w:r>
              <w:rPr>
                <w:sz w:val="18"/>
              </w:rPr>
              <w:t>___</w:t>
            </w:r>
          </w:p>
        </w:tc>
      </w:tr>
    </w:tbl>
    <w:p>
      <w:pPr>
        <w:spacing w:after="40"/>
      </w:pPr>
    </w:p>
    <w:p>
      <w:r>
        <w:t>If the first two are most of the register, it is being maintained rather than used.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Project manager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Sponsor reviewed</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Risk Register</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Register</dc:title>
  <dc:subject/>
  <dc:creator>BvLogic</dc:creator>
  <cp:keywords>BvLogic, Template, enterprise AI, Risk Register</cp:keywords>
  <dc:description/>
  <cp:lastModifiedBy/>
  <cp:revision>1</cp:revision>
  <dcterms:created xsi:type="dcterms:W3CDTF">2013-12-23T23:15:00Z</dcterms:created>
  <dcterms:modified xsi:type="dcterms:W3CDTF">2013-12-23T23:15:00Z</dcterms:modified>
  <cp:category>Template</cp:category>
  <dc:language>en-GB</dc:language>
</cp:coreProperties>
</file>