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Behavioural Regression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BVL-165D34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versions and figures are invented. The situation is not: a provider updates a model, nothing in your code changes, and the behaviour does.</w:t>
      </w:r>
    </w:p>
    <w:p>
      <w:r>
        <w:t>---</w:t>
      </w:r>
    </w:p>
    <w:p>
      <w:pPr>
        <w:pStyle w:val="Heading1"/>
      </w:pPr>
      <w:r>
        <w:t>Behavioural regression: model version change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Document classification and extraction, 40,000 documents a month</w:t>
            </w:r>
          </w:p>
        </w:tc>
      </w:tr>
      <w:tr>
        <w:tc>
          <w:tcPr>
            <w:tcW w:type="dxa" w:w="4706"/>
          </w:tcPr>
          <w:p>
            <w:pPr>
              <w:spacing w:after="40"/>
            </w:pPr>
            <w:r>
              <w:rPr>
                <w:sz w:val="18"/>
              </w:rPr>
            </w:r>
            <w:r>
              <w:rPr>
                <w:sz w:val="18"/>
              </w:rPr>
              <w:t>Change</w:t>
            </w:r>
          </w:p>
        </w:tc>
        <w:tc>
          <w:tcPr>
            <w:tcW w:type="dxa" w:w="4706"/>
          </w:tcPr>
          <w:p>
            <w:pPr>
              <w:spacing w:after="40"/>
            </w:pPr>
            <w:r>
              <w:rPr>
                <w:sz w:val="18"/>
              </w:rPr>
            </w:r>
            <w:r>
              <w:rPr>
                <w:sz w:val="18"/>
              </w:rPr>
              <w:t>Provider model version updated. No change to our code, prompt or data.</w:t>
            </w:r>
          </w:p>
        </w:tc>
      </w:tr>
      <w:tr>
        <w:tc>
          <w:tcPr>
            <w:tcW w:type="dxa" w:w="4706"/>
          </w:tcPr>
          <w:p>
            <w:pPr>
              <w:spacing w:after="40"/>
            </w:pPr>
            <w:r>
              <w:rPr>
                <w:sz w:val="18"/>
              </w:rPr>
            </w:r>
            <w:r>
              <w:rPr>
                <w:sz w:val="18"/>
              </w:rPr>
              <w:t>Notice given</w:t>
            </w:r>
          </w:p>
        </w:tc>
        <w:tc>
          <w:tcPr>
            <w:tcW w:type="dxa" w:w="4706"/>
          </w:tcPr>
          <w:p>
            <w:pPr>
              <w:spacing w:after="40"/>
            </w:pPr>
            <w:r>
              <w:rPr>
                <w:sz w:val="18"/>
              </w:rPr>
            </w:r>
            <w:r>
              <w:rPr>
                <w:sz w:val="18"/>
              </w:rPr>
              <w:t>30 days, with a deprecation date for the previous version</w:t>
            </w:r>
          </w:p>
        </w:tc>
      </w:tr>
      <w:tr>
        <w:tc>
          <w:tcPr>
            <w:tcW w:type="dxa" w:w="4706"/>
          </w:tcPr>
          <w:p>
            <w:pPr>
              <w:spacing w:after="40"/>
            </w:pPr>
            <w:r>
              <w:rPr>
                <w:sz w:val="18"/>
              </w:rPr>
            </w:r>
            <w:r>
              <w:rPr>
                <w:sz w:val="18"/>
              </w:rPr>
              <w:t>Suite</w:t>
            </w:r>
          </w:p>
        </w:tc>
        <w:tc>
          <w:tcPr>
            <w:tcW w:type="dxa" w:w="4706"/>
          </w:tcPr>
          <w:p>
            <w:pPr>
              <w:spacing w:after="40"/>
            </w:pPr>
            <w:r>
              <w:rPr>
                <w:sz w:val="18"/>
              </w:rPr>
            </w:r>
            <w:r>
              <w:rPr>
                <w:sz w:val="18"/>
              </w:rPr>
              <w:t>600 held-out documents, plus 240 case-based behavioural tests</w:t>
            </w:r>
          </w:p>
        </w:tc>
      </w:tr>
      <w:tr>
        <w:tc>
          <w:tcPr>
            <w:tcW w:type="dxa" w:w="4706"/>
          </w:tcPr>
          <w:p>
            <w:pPr>
              <w:spacing w:after="40"/>
            </w:pPr>
            <w:r>
              <w:rPr>
                <w:sz w:val="18"/>
              </w:rPr>
            </w:r>
            <w:r>
              <w:rPr>
                <w:sz w:val="18"/>
              </w:rPr>
              <w:t>Run</w:t>
            </w:r>
          </w:p>
        </w:tc>
        <w:tc>
          <w:tcPr>
            <w:tcW w:type="dxa" w:w="4706"/>
          </w:tcPr>
          <w:p>
            <w:pPr>
              <w:spacing w:after="40"/>
            </w:pPr>
            <w:r>
              <w:rPr>
                <w:sz w:val="18"/>
              </w:rPr>
            </w:r>
            <w:r>
              <w:rPr>
                <w:sz w:val="18"/>
              </w:rPr>
              <w:t>Both versions, same day, same inputs</w:t>
            </w:r>
          </w:p>
        </w:tc>
      </w:tr>
    </w:tbl>
    <w:p>
      <w:pPr>
        <w:spacing w:after="40"/>
      </w:pPr>
    </w:p>
    <w:p>
      <w:pPr>
        <w:pStyle w:val="Heading1"/>
      </w:pPr>
      <w:r>
        <w:t>1. Should we take the update?</w:t>
      </w:r>
    </w:p>
    <w:p>
      <w:r>
        <w:rPr>
          <w:b/>
        </w:rPr>
        <w:t>Yes, with two changes first, and a two-week overlap.</w:t>
      </w:r>
    </w:p>
    <w:p>
      <w:r>
        <w:t>The new version is better on the measures that matter and worse on two that break downstream systems. Both are fixable in a day. The overlap exists because two behaviours changed in ways the suite could not have anticipated, and there will be others it did not find.</w:t>
      </w:r>
    </w:p>
    <w:p>
      <w:pPr>
        <w:pStyle w:val="Heading1"/>
      </w:pPr>
      <w:r>
        <w:t>2. Aggregate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Previous</w:t>
            </w:r>
          </w:p>
        </w:tc>
        <w:tc>
          <w:tcPr>
            <w:tcW w:type="dxa" w:w="2353"/>
            <w:shd w:val="clear" w:color="auto" w:fill="F1EAFE"/>
          </w:tcPr>
          <w:p>
            <w:pPr>
              <w:spacing w:after="40"/>
            </w:pPr>
            <w:r>
              <w:rPr>
                <w:b/>
                <w:sz w:val="18"/>
              </w:rPr>
            </w:r>
            <w:r>
              <w:rPr>
                <w:b/>
                <w:sz w:val="18"/>
              </w:rPr>
              <w:t>New</w:t>
            </w:r>
          </w:p>
        </w:tc>
        <w:tc>
          <w:tcPr>
            <w:tcW w:type="dxa" w:w="2353"/>
            <w:shd w:val="clear" w:color="auto" w:fill="F1EAFE"/>
          </w:tcPr>
          <w:p>
            <w:pPr>
              <w:spacing w:after="40"/>
            </w:pPr>
            <w:r>
              <w:rPr>
                <w:b/>
                <w:sz w:val="18"/>
              </w:rPr>
            </w:r>
            <w:r>
              <w:rPr>
                <w:b/>
                <w:sz w:val="18"/>
              </w:rPr>
              <w:t>Change</w:t>
            </w:r>
          </w:p>
        </w:tc>
      </w:tr>
      <w:tr>
        <w:tc>
          <w:tcPr>
            <w:tcW w:type="dxa" w:w="2353"/>
          </w:tcPr>
          <w:p>
            <w:pPr>
              <w:spacing w:after="40"/>
            </w:pPr>
            <w:r>
              <w:rPr>
                <w:sz w:val="18"/>
              </w:rPr>
            </w:r>
            <w:r>
              <w:rPr>
                <w:sz w:val="18"/>
              </w:rPr>
              <w:t>Document type correct</w:t>
            </w:r>
          </w:p>
        </w:tc>
        <w:tc>
          <w:tcPr>
            <w:tcW w:type="dxa" w:w="2353"/>
          </w:tcPr>
          <w:p>
            <w:pPr>
              <w:spacing w:after="40"/>
            </w:pPr>
            <w:r>
              <w:rPr>
                <w:sz w:val="18"/>
              </w:rPr>
            </w:r>
            <w:r>
              <w:rPr>
                <w:sz w:val="18"/>
              </w:rPr>
              <w:t>94.3%</w:t>
            </w:r>
          </w:p>
        </w:tc>
        <w:tc>
          <w:tcPr>
            <w:tcW w:type="dxa" w:w="2353"/>
          </w:tcPr>
          <w:p>
            <w:pPr>
              <w:spacing w:after="40"/>
            </w:pPr>
            <w:r>
              <w:rPr>
                <w:sz w:val="18"/>
              </w:rPr>
            </w:r>
            <w:r>
              <w:rPr>
                <w:sz w:val="18"/>
              </w:rPr>
              <w:t>95.8%</w:t>
            </w:r>
          </w:p>
        </w:tc>
        <w:tc>
          <w:tcPr>
            <w:tcW w:type="dxa" w:w="2353"/>
          </w:tcPr>
          <w:p>
            <w:pPr>
              <w:spacing w:after="40"/>
            </w:pPr>
            <w:r>
              <w:rPr>
                <w:sz w:val="18"/>
              </w:rPr>
            </w:r>
            <w:r>
              <w:rPr>
                <w:sz w:val="18"/>
              </w:rPr>
              <w:t>+1.5</w:t>
            </w:r>
          </w:p>
        </w:tc>
      </w:tr>
      <w:tr>
        <w:tc>
          <w:tcPr>
            <w:tcW w:type="dxa" w:w="2353"/>
          </w:tcPr>
          <w:p>
            <w:pPr>
              <w:spacing w:after="40"/>
            </w:pPr>
            <w:r>
              <w:rPr>
                <w:sz w:val="18"/>
              </w:rPr>
            </w:r>
            <w:r>
              <w:rPr>
                <w:sz w:val="18"/>
              </w:rPr>
              <w:t>All 6 fields correct</w:t>
            </w:r>
          </w:p>
        </w:tc>
        <w:tc>
          <w:tcPr>
            <w:tcW w:type="dxa" w:w="2353"/>
          </w:tcPr>
          <w:p>
            <w:pPr>
              <w:spacing w:after="40"/>
            </w:pPr>
            <w:r>
              <w:rPr>
                <w:sz w:val="18"/>
              </w:rPr>
            </w:r>
            <w:r>
              <w:rPr>
                <w:sz w:val="18"/>
              </w:rPr>
              <w:t>86.9%</w:t>
            </w:r>
          </w:p>
        </w:tc>
        <w:tc>
          <w:tcPr>
            <w:tcW w:type="dxa" w:w="2353"/>
          </w:tcPr>
          <w:p>
            <w:pPr>
              <w:spacing w:after="40"/>
            </w:pPr>
            <w:r>
              <w:rPr>
                <w:sz w:val="18"/>
              </w:rPr>
            </w:r>
            <w:r>
              <w:rPr>
                <w:sz w:val="18"/>
              </w:rPr>
              <w:t>89.4%</w:t>
            </w:r>
          </w:p>
        </w:tc>
        <w:tc>
          <w:tcPr>
            <w:tcW w:type="dxa" w:w="2353"/>
          </w:tcPr>
          <w:p>
            <w:pPr>
              <w:spacing w:after="40"/>
            </w:pPr>
            <w:r>
              <w:rPr>
                <w:sz w:val="18"/>
              </w:rPr>
            </w:r>
            <w:r>
              <w:rPr>
                <w:sz w:val="18"/>
              </w:rPr>
              <w:t>+2.5</w:t>
            </w:r>
          </w:p>
        </w:tc>
      </w:tr>
      <w:tr>
        <w:tc>
          <w:tcPr>
            <w:tcW w:type="dxa" w:w="2353"/>
          </w:tcPr>
          <w:p>
            <w:pPr>
              <w:spacing w:after="40"/>
            </w:pPr>
            <w:r>
              <w:rPr>
                <w:sz w:val="18"/>
              </w:rPr>
            </w:r>
            <w:r>
              <w:rPr>
                <w:sz w:val="18"/>
              </w:rPr>
              <w:t>Refused or empty</w:t>
            </w:r>
          </w:p>
        </w:tc>
        <w:tc>
          <w:tcPr>
            <w:tcW w:type="dxa" w:w="2353"/>
          </w:tcPr>
          <w:p>
            <w:pPr>
              <w:spacing w:after="40"/>
            </w:pPr>
            <w:r>
              <w:rPr>
                <w:sz w:val="18"/>
              </w:rPr>
            </w:r>
            <w:r>
              <w:rPr>
                <w:sz w:val="18"/>
              </w:rPr>
              <w:t>0.8%</w:t>
            </w:r>
          </w:p>
        </w:tc>
        <w:tc>
          <w:tcPr>
            <w:tcW w:type="dxa" w:w="2353"/>
          </w:tcPr>
          <w:p>
            <w:pPr>
              <w:spacing w:after="40"/>
            </w:pPr>
            <w:r>
              <w:rPr>
                <w:sz w:val="18"/>
              </w:rPr>
            </w:r>
            <w:r>
              <w:rPr>
                <w:sz w:val="18"/>
              </w:rPr>
              <w:t>0.5%</w:t>
            </w:r>
          </w:p>
        </w:tc>
        <w:tc>
          <w:tcPr>
            <w:tcW w:type="dxa" w:w="2353"/>
          </w:tcPr>
          <w:p>
            <w:pPr>
              <w:spacing w:after="40"/>
            </w:pPr>
            <w:r>
              <w:rPr>
                <w:sz w:val="18"/>
              </w:rPr>
            </w:r>
            <w:r>
              <w:rPr>
                <w:sz w:val="18"/>
              </w:rPr>
              <w:t>−0.3</w:t>
            </w:r>
          </w:p>
        </w:tc>
      </w:tr>
      <w:tr>
        <w:tc>
          <w:tcPr>
            <w:tcW w:type="dxa" w:w="2353"/>
          </w:tcPr>
          <w:p>
            <w:pPr>
              <w:spacing w:after="40"/>
            </w:pPr>
            <w:r>
              <w:rPr>
                <w:sz w:val="18"/>
              </w:rPr>
            </w:r>
            <w:r>
              <w:rPr>
                <w:sz w:val="18"/>
              </w:rPr>
              <w:t>Median latency</w:t>
            </w:r>
          </w:p>
        </w:tc>
        <w:tc>
          <w:tcPr>
            <w:tcW w:type="dxa" w:w="2353"/>
          </w:tcPr>
          <w:p>
            <w:pPr>
              <w:spacing w:after="40"/>
            </w:pPr>
            <w:r>
              <w:rPr>
                <w:sz w:val="18"/>
              </w:rPr>
            </w:r>
            <w:r>
              <w:rPr>
                <w:sz w:val="18"/>
              </w:rPr>
              <w:t>1.4 s</w:t>
            </w:r>
          </w:p>
        </w:tc>
        <w:tc>
          <w:tcPr>
            <w:tcW w:type="dxa" w:w="2353"/>
          </w:tcPr>
          <w:p>
            <w:pPr>
              <w:spacing w:after="40"/>
            </w:pPr>
            <w:r>
              <w:rPr>
                <w:sz w:val="18"/>
              </w:rPr>
            </w:r>
            <w:r>
              <w:rPr>
                <w:sz w:val="18"/>
              </w:rPr>
              <w:t>1.1 s</w:t>
            </w:r>
          </w:p>
        </w:tc>
        <w:tc>
          <w:tcPr>
            <w:tcW w:type="dxa" w:w="2353"/>
          </w:tcPr>
          <w:p>
            <w:pPr>
              <w:spacing w:after="40"/>
            </w:pPr>
            <w:r>
              <w:rPr>
                <w:sz w:val="18"/>
              </w:rPr>
            </w:r>
            <w:r>
              <w:rPr>
                <w:sz w:val="18"/>
              </w:rPr>
              <w:t>−0.3 s</w:t>
            </w:r>
          </w:p>
        </w:tc>
      </w:tr>
      <w:tr>
        <w:tc>
          <w:tcPr>
            <w:tcW w:type="dxa" w:w="2353"/>
          </w:tcPr>
          <w:p>
            <w:pPr>
              <w:spacing w:after="40"/>
            </w:pPr>
            <w:r>
              <w:rPr>
                <w:sz w:val="18"/>
              </w:rPr>
            </w:r>
            <w:r>
              <w:rPr>
                <w:sz w:val="18"/>
              </w:rPr>
              <w:t>Cost per document</w:t>
            </w:r>
          </w:p>
        </w:tc>
        <w:tc>
          <w:tcPr>
            <w:tcW w:type="dxa" w:w="2353"/>
          </w:tcPr>
          <w:p>
            <w:pPr>
              <w:spacing w:after="40"/>
            </w:pPr>
            <w:r>
              <w:rPr>
                <w:sz w:val="18"/>
              </w:rPr>
            </w:r>
            <w:r>
              <w:rPr>
                <w:sz w:val="18"/>
              </w:rPr>
              <w:t>$0.049</w:t>
            </w:r>
          </w:p>
        </w:tc>
        <w:tc>
          <w:tcPr>
            <w:tcW w:type="dxa" w:w="2353"/>
          </w:tcPr>
          <w:p>
            <w:pPr>
              <w:spacing w:after="40"/>
            </w:pPr>
            <w:r>
              <w:rPr>
                <w:sz w:val="18"/>
              </w:rPr>
            </w:r>
            <w:r>
              <w:rPr>
                <w:sz w:val="18"/>
              </w:rPr>
              <w:t>$0.041</w:t>
            </w:r>
          </w:p>
        </w:tc>
        <w:tc>
          <w:tcPr>
            <w:tcW w:type="dxa" w:w="2353"/>
          </w:tcPr>
          <w:p>
            <w:pPr>
              <w:spacing w:after="40"/>
            </w:pPr>
            <w:r>
              <w:rPr>
                <w:sz w:val="18"/>
              </w:rPr>
            </w:r>
            <w:r>
              <w:rPr>
                <w:sz w:val="18"/>
              </w:rPr>
              <w:t>−16%</w:t>
            </w:r>
          </w:p>
        </w:tc>
      </w:tr>
    </w:tbl>
    <w:p>
      <w:pPr>
        <w:spacing w:after="40"/>
      </w:pPr>
    </w:p>
    <w:p>
      <w:r>
        <w:t>Better on every aggregate measure. If this were the whole report, the decision would be trivial: which is exactly why aggregates are not the whole report.</w:t>
      </w:r>
    </w:p>
    <w:p>
      <w:pPr>
        <w:pStyle w:val="Heading1"/>
      </w:pPr>
      <w:r>
        <w:t>3. What moved, case by case</w:t>
      </w:r>
    </w:p>
    <w:p>
      <w:r>
        <w:t xml:space="preserve">Of 600 documents, </w:t>
      </w:r>
      <w:r>
        <w:rPr>
          <w:b/>
        </w:rPr>
        <w:t>71 changed outcome</w:t>
      </w:r>
      <w:r>
        <w:t>. Aggregates hid most of this: 44 improved and 27 regressed, netting to +17.</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Count</w:t>
            </w:r>
          </w:p>
        </w:tc>
      </w:tr>
      <w:tr>
        <w:tc>
          <w:tcPr>
            <w:tcW w:type="dxa" w:w="4706"/>
          </w:tcPr>
          <w:p>
            <w:pPr>
              <w:spacing w:after="40"/>
            </w:pPr>
            <w:r>
              <w:rPr>
                <w:sz w:val="18"/>
              </w:rPr>
            </w:r>
            <w:r>
              <w:rPr>
                <w:sz w:val="18"/>
              </w:rPr>
              <w:t>Was wrong, now correct</w:t>
            </w:r>
          </w:p>
        </w:tc>
        <w:tc>
          <w:tcPr>
            <w:tcW w:type="dxa" w:w="4706"/>
          </w:tcPr>
          <w:p>
            <w:pPr>
              <w:spacing w:after="40"/>
            </w:pPr>
            <w:r>
              <w:rPr>
                <w:sz w:val="18"/>
              </w:rPr>
            </w:r>
            <w:r>
              <w:rPr>
                <w:sz w:val="18"/>
              </w:rPr>
              <w:t>44</w:t>
            </w:r>
          </w:p>
        </w:tc>
      </w:tr>
      <w:tr>
        <w:tc>
          <w:tcPr>
            <w:tcW w:type="dxa" w:w="4706"/>
          </w:tcPr>
          <w:p>
            <w:pPr>
              <w:spacing w:after="40"/>
            </w:pPr>
            <w:r>
              <w:rPr>
                <w:sz w:val="18"/>
              </w:rPr>
            </w:r>
            <w:r>
              <w:rPr>
                <w:sz w:val="18"/>
              </w:rPr>
              <w:t>Was correct, now wrong</w:t>
            </w:r>
          </w:p>
        </w:tc>
        <w:tc>
          <w:tcPr>
            <w:tcW w:type="dxa" w:w="4706"/>
          </w:tcPr>
          <w:p>
            <w:pPr>
              <w:spacing w:after="40"/>
            </w:pPr>
            <w:r>
              <w:rPr>
                <w:sz w:val="18"/>
              </w:rPr>
            </w:r>
            <w:r>
              <w:rPr>
                <w:sz w:val="18"/>
              </w:rPr>
              <w:t>27</w:t>
            </w:r>
          </w:p>
        </w:tc>
      </w:tr>
      <w:tr>
        <w:tc>
          <w:tcPr>
            <w:tcW w:type="dxa" w:w="4706"/>
          </w:tcPr>
          <w:p>
            <w:pPr>
              <w:spacing w:after="40"/>
            </w:pPr>
            <w:r>
              <w:rPr>
                <w:sz w:val="18"/>
              </w:rPr>
            </w:r>
            <w:r>
              <w:rPr>
                <w:sz w:val="18"/>
              </w:rPr>
              <w:t>Both wrong, differently</w:t>
            </w:r>
          </w:p>
        </w:tc>
        <w:tc>
          <w:tcPr>
            <w:tcW w:type="dxa" w:w="4706"/>
          </w:tcPr>
          <w:p>
            <w:pPr>
              <w:spacing w:after="40"/>
            </w:pPr>
            <w:r>
              <w:rPr>
                <w:sz w:val="18"/>
              </w:rPr>
            </w:r>
            <w:r>
              <w:rPr>
                <w:sz w:val="18"/>
              </w:rPr>
              <w:t>9</w:t>
            </w:r>
          </w:p>
        </w:tc>
      </w:tr>
    </w:tbl>
    <w:p>
      <w:pPr>
        <w:spacing w:after="40"/>
      </w:pPr>
    </w:p>
    <w:p>
      <w:r>
        <w:t>The 27 regressions are the report. Grouped: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Regression</w:t>
            </w:r>
          </w:p>
        </w:tc>
        <w:tc>
          <w:tcPr>
            <w:tcW w:type="dxa" w:w="3137"/>
            <w:shd w:val="clear" w:color="auto" w:fill="F1EAFE"/>
          </w:tcPr>
          <w:p>
            <w:pPr>
              <w:spacing w:after="40"/>
            </w:pPr>
            <w:r>
              <w:rPr>
                <w:b/>
                <w:sz w:val="18"/>
              </w:rPr>
            </w:r>
            <w:r>
              <w:rPr>
                <w:b/>
                <w:sz w:val="18"/>
              </w:rPr>
              <w:t>Count</w:t>
            </w:r>
          </w:p>
        </w:tc>
        <w:tc>
          <w:tcPr>
            <w:tcW w:type="dxa" w:w="3137"/>
            <w:shd w:val="clear" w:color="auto" w:fill="F1EAFE"/>
          </w:tcPr>
          <w:p>
            <w:pPr>
              <w:spacing w:after="40"/>
            </w:pPr>
            <w:r>
              <w:rPr>
                <w:b/>
                <w:sz w:val="18"/>
              </w:rPr>
            </w:r>
            <w:r>
              <w:rPr>
                <w:b/>
                <w:sz w:val="18"/>
              </w:rPr>
              <w:t>Note</w:t>
            </w:r>
          </w:p>
        </w:tc>
      </w:tr>
      <w:tr>
        <w:tc>
          <w:tcPr>
            <w:tcW w:type="dxa" w:w="3137"/>
          </w:tcPr>
          <w:p>
            <w:pPr>
              <w:spacing w:after="40"/>
            </w:pPr>
            <w:r>
              <w:rPr>
                <w:sz w:val="18"/>
              </w:rPr>
            </w:r>
            <w:r>
              <w:rPr>
                <w:sz w:val="18"/>
              </w:rPr>
              <w:t>Handwritten annotations now ignored</w:t>
            </w:r>
          </w:p>
        </w:tc>
        <w:tc>
          <w:tcPr>
            <w:tcW w:type="dxa" w:w="3137"/>
          </w:tcPr>
          <w:p>
            <w:pPr>
              <w:spacing w:after="40"/>
            </w:pPr>
            <w:r>
              <w:rPr>
                <w:sz w:val="18"/>
              </w:rPr>
            </w:r>
            <w:r>
              <w:rPr>
                <w:sz w:val="18"/>
              </w:rPr>
              <w:t>11</w:t>
            </w:r>
          </w:p>
        </w:tc>
        <w:tc>
          <w:tcPr>
            <w:tcW w:type="dxa" w:w="3137"/>
          </w:tcPr>
          <w:p>
            <w:pPr>
              <w:spacing w:after="40"/>
            </w:pPr>
            <w:r>
              <w:rPr>
                <w:sz w:val="18"/>
              </w:rPr>
            </w:r>
            <w:r>
              <w:rPr>
                <w:sz w:val="18"/>
              </w:rPr>
              <w:t>Previously extracted, now skipped</w:t>
            </w:r>
          </w:p>
        </w:tc>
      </w:tr>
      <w:tr>
        <w:tc>
          <w:tcPr>
            <w:tcW w:type="dxa" w:w="3137"/>
          </w:tcPr>
          <w:p>
            <w:pPr>
              <w:spacing w:after="40"/>
            </w:pPr>
            <w:r>
              <w:rPr>
                <w:sz w:val="18"/>
              </w:rPr>
            </w:r>
            <w:r>
              <w:rPr>
                <w:sz w:val="18"/>
              </w:rPr>
              <w:t>Two document types merged</w:t>
            </w:r>
          </w:p>
        </w:tc>
        <w:tc>
          <w:tcPr>
            <w:tcW w:type="dxa" w:w="3137"/>
          </w:tcPr>
          <w:p>
            <w:pPr>
              <w:spacing w:after="40"/>
            </w:pPr>
            <w:r>
              <w:rPr>
                <w:sz w:val="18"/>
              </w:rPr>
            </w:r>
            <w:r>
              <w:rPr>
                <w:sz w:val="18"/>
              </w:rPr>
              <w:t>9</w:t>
            </w:r>
          </w:p>
        </w:tc>
        <w:tc>
          <w:tcPr>
            <w:tcW w:type="dxa" w:w="3137"/>
          </w:tcPr>
          <w:p>
            <w:pPr>
              <w:spacing w:after="40"/>
            </w:pPr>
            <w:r>
              <w:rPr>
                <w:sz w:val="18"/>
              </w:rPr>
            </w:r>
            <w:r>
              <w:rPr>
                <w:sz w:val="18"/>
              </w:rPr>
              <w:t>Similar layouts, distinguished before</w:t>
            </w:r>
          </w:p>
        </w:tc>
      </w:tr>
      <w:tr>
        <w:tc>
          <w:tcPr>
            <w:tcW w:type="dxa" w:w="3137"/>
          </w:tcPr>
          <w:p>
            <w:pPr>
              <w:spacing w:after="40"/>
            </w:pPr>
            <w:r>
              <w:rPr>
                <w:sz w:val="18"/>
              </w:rPr>
            </w:r>
            <w:r>
              <w:rPr>
                <w:sz w:val="18"/>
              </w:rPr>
              <w:t>Multi-page documents truncated at page 4</w:t>
            </w:r>
          </w:p>
        </w:tc>
        <w:tc>
          <w:tcPr>
            <w:tcW w:type="dxa" w:w="3137"/>
          </w:tcPr>
          <w:p>
            <w:pPr>
              <w:spacing w:after="40"/>
            </w:pPr>
            <w:r>
              <w:rPr>
                <w:sz w:val="18"/>
              </w:rPr>
            </w:r>
            <w:r>
              <w:rPr>
                <w:sz w:val="18"/>
              </w:rPr>
              <w:t>5</w:t>
            </w:r>
          </w:p>
        </w:tc>
        <w:tc>
          <w:tcPr>
            <w:tcW w:type="dxa" w:w="3137"/>
          </w:tcPr>
          <w:p>
            <w:pPr>
              <w:spacing w:after="40"/>
            </w:pPr>
            <w:r>
              <w:rPr>
                <w:sz w:val="18"/>
              </w:rPr>
            </w:r>
            <w:r>
              <w:rPr>
                <w:sz w:val="18"/>
              </w:rPr>
              <w:t>Only affects documents over 4 pages</w:t>
            </w:r>
          </w:p>
        </w:tc>
      </w:tr>
      <w:tr>
        <w:tc>
          <w:tcPr>
            <w:tcW w:type="dxa" w:w="3137"/>
          </w:tcPr>
          <w:p>
            <w:pPr>
              <w:spacing w:after="40"/>
            </w:pPr>
            <w:r>
              <w:rPr>
                <w:sz w:val="18"/>
              </w:rPr>
            </w:r>
            <w:r>
              <w:rPr>
                <w:sz w:val="18"/>
              </w:rPr>
              <w:t>No pattern found</w:t>
            </w:r>
          </w:p>
        </w:tc>
        <w:tc>
          <w:tcPr>
            <w:tcW w:type="dxa" w:w="3137"/>
          </w:tcPr>
          <w:p>
            <w:pPr>
              <w:spacing w:after="40"/>
            </w:pPr>
            <w:r>
              <w:rPr>
                <w:sz w:val="18"/>
              </w:rPr>
            </w:r>
            <w:r>
              <w:rPr>
                <w:sz w:val="18"/>
              </w:rPr>
              <w:t>2</w:t>
            </w:r>
          </w:p>
        </w:tc>
        <w:tc>
          <w:tcPr>
            <w:tcW w:type="dxa" w:w="3137"/>
          </w:tcPr>
          <w:p>
            <w:pPr>
              <w:spacing w:after="40"/>
            </w:pPr>
            <w:r>
              <w:rPr>
                <w:sz w:val="18"/>
              </w:rPr>
            </w:r>
          </w:p>
        </w:tc>
      </w:tr>
    </w:tbl>
    <w:p>
      <w:pPr>
        <w:spacing w:after="40"/>
      </w:pPr>
    </w:p>
    <w:p>
      <w:r>
        <w:rPr>
          <w:b/>
        </w:rPr>
        <w:t>The handwritten case is the one to note.</w:t>
      </w:r>
      <w:r>
        <w:t xml:space="preserve"> Nobody knew the previous version handled handwritten annotations, because nobody had tested for it. It was working by accident, a downstream process had come to depend on it, and the dependency became visible only when it stopped.</w:t>
      </w:r>
    </w:p>
    <w:p>
      <w:pPr>
        <w:pStyle w:val="Heading1"/>
      </w:pPr>
      <w:r>
        <w:t>4. The improvements that broke things</w:t>
      </w:r>
    </w:p>
    <w:p>
      <w:r>
        <w:t>Two behaviours improved and broke downstream systems in doing so. This is the category teams do not anticipate.</w:t>
      </w:r>
    </w:p>
    <w:p>
      <w:r>
        <w:rPr>
          <w:b/>
        </w:rPr>
        <w:t>Dates are now normalised to ISO format.</w:t>
      </w:r>
      <w:r>
        <w:t xml:space="preserve"> Previously returned as written. The downstream system parses the previous formats and fails on ISO. Strictly an improvement; entirely a breaking change.</w:t>
      </w:r>
    </w:p>
    <w:p>
      <w:r>
        <w:rPr>
          <w:b/>
        </w:rPr>
        <w:t>Currency values now include the symbol.</w:t>
      </w:r>
      <w:r>
        <w:t xml:space="preserve"> Previously bare numbers. The receiving field is numeric and rejects the string.</w:t>
      </w:r>
    </w:p>
    <w:p>
      <w:r>
        <w:t xml:space="preserve">Both were found by the behavioural suite because it asserts on output </w:t>
      </w:r>
      <w:r>
        <w:rPr>
          <w:i/>
        </w:rPr>
        <w:t>shape</w:t>
      </w:r>
      <w:r>
        <w:t>, not only on correctness. An accuracy-only suite would have scored both as improvements and passed them straight into a production failure.</w:t>
      </w:r>
    </w:p>
    <w:p>
      <w:pPr>
        <w:pStyle w:val="Heading1"/>
      </w:pPr>
      <w:r>
        <w:t>5. What stayed the same</w:t>
      </w:r>
    </w:p>
    <w:p>
      <w:r>
        <w:t>Worth checking, and worth reporting.</w:t>
      </w:r>
    </w:p>
    <w:p>
      <w:pPr>
        <w:pStyle w:val="ListBullet"/>
      </w:pPr>
      <w:r>
        <w:t>Refusal behaviour on documents outside the 14 types is unchanged</w:t>
      </w:r>
    </w:p>
    <w:p>
      <w:pPr>
        <w:pStyle w:val="ListBullet"/>
      </w:pPr>
      <w:r>
        <w:t>No new failure mode on poor-quality scans</w:t>
      </w:r>
    </w:p>
    <w:p>
      <w:pPr>
        <w:pStyle w:val="ListBullet"/>
      </w:pPr>
      <w:r>
        <w:t>Prompt injection attempts in document text still fail, all 40 cases</w:t>
      </w:r>
    </w:p>
    <w:p>
      <w:pPr>
        <w:pStyle w:val="ListBullet"/>
      </w:pPr>
      <w:r>
        <w:t>Field-level confidence remains uncalibrated in both versions, high confidence does not</w:t>
      </w:r>
    </w:p>
    <w:p>
      <w:r>
        <w:t>predict correctness in either</w:t>
      </w:r>
    </w:p>
    <w:p>
      <w:r>
        <w:t>The last one is a standing finding rather than a regression. It has been true for three versions and it is why the empty-field routing exists.</w:t>
      </w:r>
    </w:p>
    <w:p>
      <w:pPr>
        <w:pStyle w:val="Heading1"/>
      </w:pPr>
      <w:r>
        <w:t>6. Cost of the two changes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Effort</w:t>
            </w:r>
          </w:p>
        </w:tc>
      </w:tr>
      <w:tr>
        <w:tc>
          <w:tcPr>
            <w:tcW w:type="dxa" w:w="4706"/>
          </w:tcPr>
          <w:p>
            <w:pPr>
              <w:spacing w:after="40"/>
            </w:pPr>
            <w:r>
              <w:rPr>
                <w:sz w:val="18"/>
              </w:rPr>
            </w:r>
            <w:r>
              <w:rPr>
                <w:sz w:val="18"/>
              </w:rPr>
              <w:t>Accept ISO dates downstream</w:t>
            </w:r>
          </w:p>
        </w:tc>
        <w:tc>
          <w:tcPr>
            <w:tcW w:type="dxa" w:w="4706"/>
          </w:tcPr>
          <w:p>
            <w:pPr>
              <w:spacing w:after="40"/>
            </w:pPr>
            <w:r>
              <w:rPr>
                <w:sz w:val="18"/>
              </w:rPr>
            </w:r>
            <w:r>
              <w:rPr>
                <w:sz w:val="18"/>
              </w:rPr>
              <w:t>Half a day</w:t>
            </w:r>
          </w:p>
        </w:tc>
      </w:tr>
      <w:tr>
        <w:tc>
          <w:tcPr>
            <w:tcW w:type="dxa" w:w="4706"/>
          </w:tcPr>
          <w:p>
            <w:pPr>
              <w:spacing w:after="40"/>
            </w:pPr>
            <w:r>
              <w:rPr>
                <w:sz w:val="18"/>
              </w:rPr>
            </w:r>
            <w:r>
              <w:rPr>
                <w:sz w:val="18"/>
              </w:rPr>
              <w:t>Strip the currency symbol before the numeric field</w:t>
            </w:r>
          </w:p>
        </w:tc>
        <w:tc>
          <w:tcPr>
            <w:tcW w:type="dxa" w:w="4706"/>
          </w:tcPr>
          <w:p>
            <w:pPr>
              <w:spacing w:after="40"/>
            </w:pPr>
            <w:r>
              <w:rPr>
                <w:sz w:val="18"/>
              </w:rPr>
            </w:r>
            <w:r>
              <w:rPr>
                <w:sz w:val="18"/>
              </w:rPr>
              <w:t>Two hours</w:t>
            </w:r>
          </w:p>
        </w:tc>
      </w:tr>
      <w:tr>
        <w:tc>
          <w:tcPr>
            <w:tcW w:type="dxa" w:w="4706"/>
          </w:tcPr>
          <w:p>
            <w:pPr>
              <w:spacing w:after="40"/>
            </w:pPr>
            <w:r>
              <w:rPr>
                <w:sz w:val="18"/>
              </w:rPr>
            </w:r>
            <w:r>
              <w:rPr>
                <w:sz w:val="18"/>
              </w:rPr>
              <w:t>Add handwritten annotation cases to the suite</w:t>
            </w:r>
          </w:p>
        </w:tc>
        <w:tc>
          <w:tcPr>
            <w:tcW w:type="dxa" w:w="4706"/>
          </w:tcPr>
          <w:p>
            <w:pPr>
              <w:spacing w:after="40"/>
            </w:pPr>
            <w:r>
              <w:rPr>
                <w:sz w:val="18"/>
              </w:rPr>
            </w:r>
            <w:r>
              <w:rPr>
                <w:sz w:val="18"/>
              </w:rPr>
              <w:t>Two hours</w:t>
            </w:r>
          </w:p>
        </w:tc>
      </w:tr>
      <w:tr>
        <w:tc>
          <w:tcPr>
            <w:tcW w:type="dxa" w:w="4706"/>
          </w:tcPr>
          <w:p>
            <w:pPr>
              <w:spacing w:after="40"/>
            </w:pPr>
            <w:r>
              <w:rPr>
                <w:sz w:val="18"/>
              </w:rPr>
            </w:r>
            <w:r>
              <w:rPr>
                <w:b/>
                <w:sz w:val="18"/>
              </w:rPr>
              <w:t>Total</w:t>
            </w:r>
          </w:p>
        </w:tc>
        <w:tc>
          <w:tcPr>
            <w:tcW w:type="dxa" w:w="4706"/>
          </w:tcPr>
          <w:p>
            <w:pPr>
              <w:spacing w:after="40"/>
            </w:pPr>
            <w:r>
              <w:rPr>
                <w:sz w:val="18"/>
              </w:rPr>
            </w:r>
            <w:r>
              <w:rPr>
                <w:b/>
                <w:sz w:val="18"/>
              </w:rPr>
              <w:t>Under a day</w:t>
            </w:r>
          </w:p>
        </w:tc>
      </w:tr>
    </w:tbl>
    <w:p>
      <w:pPr>
        <w:spacing w:after="40"/>
      </w:pPr>
    </w:p>
    <w:p>
      <w:r>
        <w:t>Against a 16% reduction in cost per document, about $330 a month at current volume, plus the accuracy improvement.</w:t>
      </w:r>
    </w:p>
    <w:p>
      <w:pPr>
        <w:pStyle w:val="Heading1"/>
      </w:pPr>
      <w:r>
        <w:t>7. Recommendation</w:t>
      </w:r>
    </w:p>
    <w:p>
      <w:pPr>
        <w:pStyle w:val="ListNumber"/>
      </w:pPr>
      <w:r>
        <w:rPr>
          <w:b/>
        </w:rPr>
        <w:t>Make the two downstream changes</w:t>
      </w:r>
      <w:r>
        <w:t xml:space="preserve"> before switching.</w:t>
      </w:r>
    </w:p>
    <w:p>
      <w:pPr>
        <w:pStyle w:val="ListNumber"/>
      </w:pPr>
      <w:r>
        <w:rPr>
          <w:b/>
        </w:rPr>
        <w:t>Add the 11 handwritten cases to the suite</w:t>
      </w:r>
      <w:r>
        <w:t xml:space="preserve"> so the behaviour is asserted rather than</w:t>
      </w:r>
    </w:p>
    <w:p>
      <w:r>
        <w:t>assumed, whichever version is running.</w:t>
      </w:r>
    </w:p>
    <w:p>
      <w:pPr>
        <w:pStyle w:val="ListNumber"/>
      </w:pPr>
      <w:r>
        <w:rPr>
          <w:b/>
        </w:rPr>
        <w:t>Run both versions in parallel for two weeks</w:t>
      </w:r>
      <w:r>
        <w:t>, comparing on live traffic, before</w:t>
      </w:r>
    </w:p>
    <w:p>
      <w:r>
        <w:t>retiring the old one. The suite found 71 differences; production will find more.</w:t>
      </w:r>
    </w:p>
    <w:p>
      <w:pPr>
        <w:pStyle w:val="ListNumber"/>
      </w:pPr>
      <w:r>
        <w:rPr>
          <w:b/>
        </w:rPr>
        <w:t>Accept the truncation regression for now.</w:t>
      </w:r>
      <w:r>
        <w:t xml:space="preserve"> Documents over 4 pages are 1.2% of volume and</w:t>
      </w:r>
    </w:p>
    <w:p>
      <w:r>
        <w:t>they already route to a person.</w:t>
      </w:r>
    </w:p>
    <w:p>
      <w:pPr>
        <w:pStyle w:val="ListNumber"/>
      </w:pPr>
      <w:r>
        <w:rPr>
          <w:b/>
        </w:rPr>
        <w:t>Diarise the deprecation date.</w:t>
      </w:r>
      <w:r>
        <w:t xml:space="preserve"> The overlap is only available until then, and it is the</w:t>
      </w:r>
    </w:p>
    <w:p>
      <w:r>
        <w:t>single most useful thing the provider gave us.</w:t>
      </w:r>
    </w:p>
    <w:p>
      <w:r>
        <w:t>---</w:t>
      </w:r>
    </w:p>
    <w:p>
      <w:pPr>
        <w:pStyle w:val="Heading1"/>
      </w:pPr>
      <w:r>
        <w:t>Notes on using this format</w:t>
      </w:r>
    </w:p>
    <w:p>
      <w:r>
        <w:rPr>
          <w:b/>
        </w:rPr>
        <w:t>Aggregates hide the report.</w:t>
      </w:r>
      <w:r>
        <w:t xml:space="preserve"> A net +17 concealed 27 regressions and two breaking improvements. Compare case by case or you are not testing, you are scoring.</w:t>
      </w:r>
    </w:p>
    <w:p>
      <w:r>
        <w:rPr>
          <w:b/>
        </w:rPr>
        <w:t>Assert on shape, not only on correctness.</w:t>
      </w:r>
      <w:r>
        <w:t xml:space="preserve"> Both breaking changes were improvements in accuracy. A suite that only measures whether the answer is right would have passed them.</w:t>
      </w:r>
    </w:p>
    <w:p>
      <w:r>
        <w:rPr>
          <w:b/>
        </w:rPr>
        <w:t>Some behaviour works by accident.</w:t>
      </w:r>
      <w:r>
        <w:t xml:space="preserve"> The handwritten annotations were never specified, never tested, and depended on. A version change is how you find these, and the only remedy is to add each one to the suite as it is discovered.</w:t>
      </w:r>
    </w:p>
    <w:p>
      <w:r>
        <w:rPr>
          <w:b/>
        </w:rPr>
        <w:t>Use the overlap.</w:t>
      </w:r>
      <w:r>
        <w:t xml:space="preserve"> A parallel run on live traffic is the only test performed on the real distribution, and it is available only until the deprecation date.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Behavioural Regression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Behavioural Regression Report: Sample</dc:title>
  <dc:subject/>
  <dc:creator>BvLogic</dc:creator>
  <cp:keywords>BvLogic, Report, enterprise AI, Behavioural Regression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