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Deprecation Notice Nobody Read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BVL-AF248E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dates and figures are invented. The situation is not: providers deprecate model versions, the notice arrives by email, and the email goes to whoever created the account.</w:t>
      </w:r>
    </w:p>
    <w:p>
      <w:r>
        <w:t>---</w:t>
      </w:r>
    </w:p>
    <w:p>
      <w:pPr>
        <w:pStyle w:val="Heading1"/>
      </w:pPr>
      <w:r>
        <w:t>The situation</w:t>
      </w:r>
    </w:p>
    <w:p>
      <w:r>
        <w:t>An insurance company used an AI feature to triage claims into fast-track, standard and investigate. It had run for fourteen months and was trusted.</w:t>
      </w:r>
    </w:p>
    <w:p>
      <w:r>
        <w:t>The provider sent a deprecation notice for the model version in use, with 90 days and a clear migration path. It went to the email address on the account, a former employee's, forwarded to a shared inbox that four people could access and nobody read.</w:t>
      </w:r>
    </w:p>
    <w:p>
      <w:r>
        <w:t>The model was retired on a Tuesday morning. The application began receiving errors at 09:04.</w:t>
      </w:r>
    </w:p>
    <w:p>
      <w:pPr>
        <w:pStyle w:val="Heading1"/>
      </w:pPr>
      <w:r>
        <w:t>The first four hours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09:04</w:t>
            </w:r>
          </w:p>
        </w:tc>
        <w:tc>
          <w:tcPr>
            <w:tcW w:type="dxa" w:w="4706"/>
            <w:shd w:val="clear" w:color="auto" w:fill="F1EAFE"/>
          </w:tcPr>
          <w:p>
            <w:pPr>
              <w:spacing w:after="40"/>
            </w:pPr>
            <w:r>
              <w:rPr>
                <w:b/>
                <w:sz w:val="18"/>
              </w:rPr>
            </w:r>
            <w:r>
              <w:rPr>
                <w:b/>
                <w:sz w:val="18"/>
              </w:rPr>
              <w:t>Errors begin. Claims triage returns failures.</w:t>
            </w:r>
          </w:p>
        </w:tc>
      </w:tr>
      <w:tr>
        <w:tc>
          <w:tcPr>
            <w:tcW w:type="dxa" w:w="4706"/>
          </w:tcPr>
          <w:p>
            <w:pPr>
              <w:spacing w:after="40"/>
            </w:pPr>
            <w:r>
              <w:rPr>
                <w:sz w:val="18"/>
              </w:rPr>
            </w:r>
            <w:r>
              <w:rPr>
                <w:sz w:val="18"/>
              </w:rPr>
              <w:t>09:20</w:t>
            </w:r>
          </w:p>
        </w:tc>
        <w:tc>
          <w:tcPr>
            <w:tcW w:type="dxa" w:w="4706"/>
          </w:tcPr>
          <w:p>
            <w:pPr>
              <w:spacing w:after="40"/>
            </w:pPr>
            <w:r>
              <w:rPr>
                <w:sz w:val="18"/>
              </w:rPr>
            </w:r>
            <w:r>
              <w:rPr>
                <w:sz w:val="18"/>
              </w:rPr>
              <w:t>Escalated. Nobody knows why.</w:t>
            </w:r>
          </w:p>
        </w:tc>
      </w:tr>
      <w:tr>
        <w:tc>
          <w:tcPr>
            <w:tcW w:type="dxa" w:w="4706"/>
          </w:tcPr>
          <w:p>
            <w:pPr>
              <w:spacing w:after="40"/>
            </w:pPr>
            <w:r>
              <w:rPr>
                <w:sz w:val="18"/>
              </w:rPr>
            </w:r>
            <w:r>
              <w:rPr>
                <w:sz w:val="18"/>
              </w:rPr>
              <w:t>09:55</w:t>
            </w:r>
          </w:p>
        </w:tc>
        <w:tc>
          <w:tcPr>
            <w:tcW w:type="dxa" w:w="4706"/>
          </w:tcPr>
          <w:p>
            <w:pPr>
              <w:spacing w:after="40"/>
            </w:pPr>
            <w:r>
              <w:rPr>
                <w:sz w:val="18"/>
              </w:rPr>
            </w:r>
            <w:r>
              <w:rPr>
                <w:sz w:val="18"/>
              </w:rPr>
              <w:t>Provider status page checked, clean.</w:t>
            </w:r>
          </w:p>
        </w:tc>
      </w:tr>
      <w:tr>
        <w:tc>
          <w:tcPr>
            <w:tcW w:type="dxa" w:w="4706"/>
          </w:tcPr>
          <w:p>
            <w:pPr>
              <w:spacing w:after="40"/>
            </w:pPr>
            <w:r>
              <w:rPr>
                <w:sz w:val="18"/>
              </w:rPr>
            </w:r>
            <w:r>
              <w:rPr>
                <w:sz w:val="18"/>
              </w:rPr>
              <w:t>10:30</w:t>
            </w:r>
          </w:p>
        </w:tc>
        <w:tc>
          <w:tcPr>
            <w:tcW w:type="dxa" w:w="4706"/>
          </w:tcPr>
          <w:p>
            <w:pPr>
              <w:spacing w:after="40"/>
            </w:pPr>
            <w:r>
              <w:rPr>
                <w:sz w:val="18"/>
              </w:rPr>
            </w:r>
            <w:r>
              <w:rPr>
                <w:sz w:val="18"/>
              </w:rPr>
              <w:t>Someone finds the deprecation notice in the shared inbox</w:t>
            </w:r>
          </w:p>
        </w:tc>
      </w:tr>
      <w:tr>
        <w:tc>
          <w:tcPr>
            <w:tcW w:type="dxa" w:w="4706"/>
          </w:tcPr>
          <w:p>
            <w:pPr>
              <w:spacing w:after="40"/>
            </w:pPr>
            <w:r>
              <w:rPr>
                <w:sz w:val="18"/>
              </w:rPr>
            </w:r>
            <w:r>
              <w:rPr>
                <w:sz w:val="18"/>
              </w:rPr>
              <w:t>10:45</w:t>
            </w:r>
          </w:p>
        </w:tc>
        <w:tc>
          <w:tcPr>
            <w:tcW w:type="dxa" w:w="4706"/>
          </w:tcPr>
          <w:p>
            <w:pPr>
              <w:spacing w:after="40"/>
            </w:pPr>
            <w:r>
              <w:rPr>
                <w:sz w:val="18"/>
              </w:rPr>
            </w:r>
            <w:r>
              <w:rPr>
                <w:sz w:val="18"/>
              </w:rPr>
              <w:t>Decision: point at the successor version</w:t>
            </w:r>
          </w:p>
        </w:tc>
      </w:tr>
      <w:tr>
        <w:tc>
          <w:tcPr>
            <w:tcW w:type="dxa" w:w="4706"/>
          </w:tcPr>
          <w:p>
            <w:pPr>
              <w:spacing w:after="40"/>
            </w:pPr>
            <w:r>
              <w:rPr>
                <w:sz w:val="18"/>
              </w:rPr>
            </w:r>
            <w:r>
              <w:rPr>
                <w:sz w:val="18"/>
              </w:rPr>
              <w:t>11:10</w:t>
            </w:r>
          </w:p>
        </w:tc>
        <w:tc>
          <w:tcPr>
            <w:tcW w:type="dxa" w:w="4706"/>
          </w:tcPr>
          <w:p>
            <w:pPr>
              <w:spacing w:after="40"/>
            </w:pPr>
            <w:r>
              <w:rPr>
                <w:sz w:val="18"/>
              </w:rPr>
            </w:r>
            <w:r>
              <w:rPr>
                <w:sz w:val="18"/>
              </w:rPr>
              <w:t>Deployed. Errors stop.</w:t>
            </w:r>
          </w:p>
        </w:tc>
      </w:tr>
      <w:tr>
        <w:tc>
          <w:tcPr>
            <w:tcW w:type="dxa" w:w="4706"/>
          </w:tcPr>
          <w:p>
            <w:pPr>
              <w:spacing w:after="40"/>
            </w:pPr>
            <w:r>
              <w:rPr>
                <w:sz w:val="18"/>
              </w:rPr>
            </w:r>
            <w:r>
              <w:rPr>
                <w:sz w:val="18"/>
              </w:rPr>
              <w:t>11:10, 16:00</w:t>
            </w:r>
          </w:p>
        </w:tc>
        <w:tc>
          <w:tcPr>
            <w:tcW w:type="dxa" w:w="4706"/>
          </w:tcPr>
          <w:p>
            <w:pPr>
              <w:spacing w:after="40"/>
            </w:pPr>
            <w:r>
              <w:rPr>
                <w:sz w:val="18"/>
              </w:rPr>
            </w:r>
            <w:r>
              <w:rPr>
                <w:sz w:val="18"/>
              </w:rPr>
              <w:t>Claims triaged by the new model, unverified</w:t>
            </w:r>
          </w:p>
        </w:tc>
      </w:tr>
    </w:tbl>
    <w:p>
      <w:pPr>
        <w:spacing w:after="40"/>
      </w:pPr>
    </w:p>
    <w:p>
      <w:r>
        <w:t xml:space="preserve">The switch itself was one configuration line. </w:t>
      </w:r>
      <w:r>
        <w:rPr>
          <w:b/>
        </w:rPr>
        <w:t>The problem was everything after 11:10.</w:t>
      </w:r>
    </w:p>
    <w:p>
      <w:pPr>
        <w:pStyle w:val="Heading1"/>
      </w:pPr>
      <w:r>
        <w:t>What changed silently</w:t>
      </w:r>
    </w:p>
    <w:p>
      <w:r>
        <w:t>Three days later a claims manager noticed the investigate queue had roughly doubled. The review took a week and found four behavioural changes, none of which produced an error.</w:t>
      </w:r>
    </w:p>
    <w:p>
      <w:r>
        <w:rPr>
          <w:b/>
        </w:rPr>
        <w:t>More conservative triage.</w:t>
      </w:r>
      <w:r>
        <w:t xml:space="preserve"> Claims that had been fast-tracked were now standard, and standard were now investigate. Roughly 22% of claims moved a category. Not wrong, exactly: defensible on each individual claim, and materially different in aggregate.</w:t>
      </w:r>
    </w:p>
    <w:p>
      <w:r>
        <w:rPr>
          <w:b/>
        </w:rPr>
        <w:t>Confidence values on a different scale.</w:t>
      </w:r>
      <w:r>
        <w:t xml:space="preserve"> The old model's scores clustered 0.6 to 0.95. The new one's clustered 0.4 to 0.8. A downstream rule auto-approved anything above 0.85, and that rule stopped firing almost entirely. Nobody had documented that the threshold was calibrated to a specific model version.</w:t>
      </w:r>
    </w:p>
    <w:p>
      <w:r>
        <w:rPr>
          <w:b/>
        </w:rPr>
        <w:t>Longer reason text.</w:t>
      </w:r>
      <w:r>
        <w:t xml:space="preserve"> The reason field went from around 40 words to around 90. It is displayed in a fixed-height panel in the claims system, so reasons were being truncated mid-sentence for every claim.</w:t>
      </w:r>
    </w:p>
    <w:p>
      <w:r>
        <w:rPr>
          <w:b/>
        </w:rPr>
        <w:t>Different handling of missing fields.</w:t>
      </w:r>
      <w:r>
        <w:t xml:space="preserve"> The old model inferred a claim type from context when the field was absent. The new one returned "unknown", and 3% of claims routed to a manual queue that had been almost empty for a year.</w:t>
      </w:r>
    </w:p>
    <w:p>
      <w:pPr>
        <w:pStyle w:val="Heading1"/>
      </w:pPr>
      <w:r>
        <w:t>The cost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Downtime</w:t>
            </w:r>
          </w:p>
        </w:tc>
        <w:tc>
          <w:tcPr>
            <w:tcW w:type="dxa" w:w="4706"/>
            <w:shd w:val="clear" w:color="auto" w:fill="F1EAFE"/>
          </w:tcPr>
          <w:p>
            <w:pPr>
              <w:spacing w:after="40"/>
            </w:pPr>
            <w:r>
              <w:rPr>
                <w:b/>
                <w:sz w:val="18"/>
              </w:rPr>
            </w:r>
            <w:r>
              <w:rPr>
                <w:b/>
                <w:sz w:val="18"/>
              </w:rPr>
              <w:t>2 hours 6 minutes</w:t>
            </w:r>
          </w:p>
        </w:tc>
      </w:tr>
      <w:tr>
        <w:tc>
          <w:tcPr>
            <w:tcW w:type="dxa" w:w="4706"/>
          </w:tcPr>
          <w:p>
            <w:pPr>
              <w:spacing w:after="40"/>
            </w:pPr>
            <w:r>
              <w:rPr>
                <w:sz w:val="18"/>
              </w:rPr>
            </w:r>
            <w:r>
              <w:rPr>
                <w:sz w:val="18"/>
              </w:rPr>
              <w:t>Claims triaged before the changes were understood</w:t>
            </w:r>
          </w:p>
        </w:tc>
        <w:tc>
          <w:tcPr>
            <w:tcW w:type="dxa" w:w="4706"/>
          </w:tcPr>
          <w:p>
            <w:pPr>
              <w:spacing w:after="40"/>
            </w:pPr>
            <w:r>
              <w:rPr>
                <w:sz w:val="18"/>
              </w:rPr>
            </w:r>
            <w:r>
              <w:rPr>
                <w:sz w:val="18"/>
              </w:rPr>
              <w:t>~1,400</w:t>
            </w:r>
          </w:p>
        </w:tc>
      </w:tr>
      <w:tr>
        <w:tc>
          <w:tcPr>
            <w:tcW w:type="dxa" w:w="4706"/>
          </w:tcPr>
          <w:p>
            <w:pPr>
              <w:spacing w:after="40"/>
            </w:pPr>
            <w:r>
              <w:rPr>
                <w:sz w:val="18"/>
              </w:rPr>
            </w:r>
            <w:r>
              <w:rPr>
                <w:sz w:val="18"/>
              </w:rPr>
              <w:t>Claims re-triaged manually</w:t>
            </w:r>
          </w:p>
        </w:tc>
        <w:tc>
          <w:tcPr>
            <w:tcW w:type="dxa" w:w="4706"/>
          </w:tcPr>
          <w:p>
            <w:pPr>
              <w:spacing w:after="40"/>
            </w:pPr>
            <w:r>
              <w:rPr>
                <w:sz w:val="18"/>
              </w:rPr>
            </w:r>
            <w:r>
              <w:rPr>
                <w:sz w:val="18"/>
              </w:rPr>
              <w:t>1,400</w:t>
            </w:r>
          </w:p>
        </w:tc>
      </w:tr>
      <w:tr>
        <w:tc>
          <w:tcPr>
            <w:tcW w:type="dxa" w:w="4706"/>
          </w:tcPr>
          <w:p>
            <w:pPr>
              <w:spacing w:after="40"/>
            </w:pPr>
            <w:r>
              <w:rPr>
                <w:sz w:val="18"/>
              </w:rPr>
            </w:r>
            <w:r>
              <w:rPr>
                <w:sz w:val="18"/>
              </w:rPr>
              <w:t>Auto-approval rate during the period</w:t>
            </w:r>
          </w:p>
        </w:tc>
        <w:tc>
          <w:tcPr>
            <w:tcW w:type="dxa" w:w="4706"/>
          </w:tcPr>
          <w:p>
            <w:pPr>
              <w:spacing w:after="40"/>
            </w:pPr>
            <w:r>
              <w:rPr>
                <w:sz w:val="18"/>
              </w:rPr>
            </w:r>
            <w:r>
              <w:rPr>
                <w:sz w:val="18"/>
              </w:rPr>
              <w:t>31% → 4%</w:t>
            </w:r>
          </w:p>
        </w:tc>
      </w:tr>
      <w:tr>
        <w:tc>
          <w:tcPr>
            <w:tcW w:type="dxa" w:w="4706"/>
          </w:tcPr>
          <w:p>
            <w:pPr>
              <w:spacing w:after="40"/>
            </w:pPr>
            <w:r>
              <w:rPr>
                <w:sz w:val="18"/>
              </w:rPr>
            </w:r>
            <w:r>
              <w:rPr>
                <w:sz w:val="18"/>
              </w:rPr>
              <w:t>Backlog cleared in</w:t>
            </w:r>
          </w:p>
        </w:tc>
        <w:tc>
          <w:tcPr>
            <w:tcW w:type="dxa" w:w="4706"/>
          </w:tcPr>
          <w:p>
            <w:pPr>
              <w:spacing w:after="40"/>
            </w:pPr>
            <w:r>
              <w:rPr>
                <w:sz w:val="18"/>
              </w:rPr>
            </w:r>
            <w:r>
              <w:rPr>
                <w:sz w:val="18"/>
              </w:rPr>
              <w:t>9 days</w:t>
            </w:r>
          </w:p>
        </w:tc>
      </w:tr>
      <w:tr>
        <w:tc>
          <w:tcPr>
            <w:tcW w:type="dxa" w:w="4706"/>
          </w:tcPr>
          <w:p>
            <w:pPr>
              <w:spacing w:after="40"/>
            </w:pPr>
            <w:r>
              <w:rPr>
                <w:sz w:val="18"/>
              </w:rPr>
            </w:r>
            <w:r>
              <w:rPr>
                <w:sz w:val="18"/>
              </w:rPr>
              <w:t>Staff time</w:t>
            </w:r>
          </w:p>
        </w:tc>
        <w:tc>
          <w:tcPr>
            <w:tcW w:type="dxa" w:w="4706"/>
          </w:tcPr>
          <w:p>
            <w:pPr>
              <w:spacing w:after="40"/>
            </w:pPr>
            <w:r>
              <w:rPr>
                <w:sz w:val="18"/>
              </w:rPr>
            </w:r>
            <w:r>
              <w:rPr>
                <w:sz w:val="18"/>
              </w:rPr>
              <w:t>~180 hours</w:t>
            </w:r>
          </w:p>
        </w:tc>
      </w:tr>
    </w:tbl>
    <w:p>
      <w:pPr>
        <w:spacing w:after="40"/>
      </w:pPr>
    </w:p>
    <w:p>
      <w:r>
        <w:rPr>
          <w:b/>
        </w:rPr>
        <w:t>The two hours of downtime were the cheapest part.</w:t>
      </w:r>
      <w:r>
        <w:t xml:space="preserve"> Everything expensive came from three days of running a changed system while believing it was the same one.</w:t>
      </w:r>
    </w:p>
    <w:p>
      <w:pPr>
        <w:pStyle w:val="Heading1"/>
      </w:pPr>
      <w:r>
        <w:t>Why there was no rollback</w:t>
      </w:r>
    </w:p>
    <w:p>
      <w:r>
        <w:t>The old version was retired. There was nothing to roll back to, the only path was forward.</w:t>
      </w:r>
    </w:p>
    <w:p>
      <w:r>
        <w:t xml:space="preserve">This is the property that distinguishes a provider deprecation from an ordinary dependency upgrade, and it is why the 90 days matter so much. </w:t>
      </w:r>
      <w:r>
        <w:rPr>
          <w:b/>
        </w:rPr>
        <w:t>During the notice period both versions run and can be compared. After it, one of them does not exist.</w:t>
      </w:r>
      <w:r>
        <w:t xml:space="preserve"> The team had a comparison window and spent it not knowing it was open.</w:t>
      </w:r>
    </w:p>
    <w:p>
      <w:pPr>
        <w:pStyle w:val="Heading1"/>
      </w:pPr>
      <w:r>
        <w:t>What was built in the fortnight after</w:t>
      </w:r>
    </w:p>
    <w:p>
      <w:r>
        <w:rPr>
          <w:b/>
        </w:rPr>
        <w:t>A behavioural suite.</w:t>
      </w:r>
      <w:r>
        <w:t xml:space="preserve"> 300 real claims with known correct triage, plus 80 cases asserting on shape: confidence range, reason length, field presence, handling of missing data. Two of the four silent changes, confidence scale and reason length, are shape assertions, and no accuracy-focused suite would have caught either.</w:t>
      </w:r>
    </w:p>
    <w:p>
      <w:r>
        <w:rPr>
          <w:b/>
        </w:rPr>
        <w:t>Provider notices routed to a team address</w:t>
      </w:r>
      <w:r>
        <w:t>, monitored, with a standing calendar entry to check deprecation schedules monthly. The most embarrassing item on the list and the cheapest.</w:t>
      </w:r>
    </w:p>
    <w:p>
      <w:r>
        <w:rPr>
          <w:b/>
        </w:rPr>
        <w:t>Model version pinned explicitly</w:t>
      </w:r>
      <w:r>
        <w:t xml:space="preserve"> in configuration, with the pin recorded in the deployment log. Previously the application requested an alias that the provider re-pointed.</w:t>
      </w:r>
    </w:p>
    <w:p>
      <w:r>
        <w:rPr>
          <w:b/>
        </w:rPr>
        <w:t>A calibration document</w:t>
      </w:r>
      <w:r>
        <w:t xml:space="preserve"> stating which downstream thresholds depend on model output scales. There were three. Nobody had known.</w:t>
      </w:r>
    </w:p>
    <w:p>
      <w:r>
        <w:rPr>
          <w:b/>
        </w:rPr>
        <w:t>A migration runbook</w:t>
      </w:r>
      <w:r>
        <w:t>: run the suite against the new version, diff case by case, quantify the deltas, adjust thresholds, then switch: with a parallel period wherever the notice period allows one.</w:t>
      </w:r>
    </w:p>
    <w:p>
      <w:pPr>
        <w:pStyle w:val="Heading1"/>
      </w:pPr>
      <w:r>
        <w:t>The next deprecation</w:t>
      </w:r>
    </w:p>
    <w:p>
      <w:r>
        <w:t>It arrived seven months later, with 60 days.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Forced migration</w:t>
            </w:r>
          </w:p>
        </w:tc>
        <w:tc>
          <w:tcPr>
            <w:tcW w:type="dxa" w:w="3137"/>
            <w:shd w:val="clear" w:color="auto" w:fill="F1EAFE"/>
          </w:tcPr>
          <w:p>
            <w:pPr>
              <w:spacing w:after="40"/>
            </w:pPr>
            <w:r>
              <w:rPr>
                <w:b/>
                <w:sz w:val="18"/>
              </w:rPr>
            </w:r>
            <w:r>
              <w:rPr>
                <w:b/>
                <w:sz w:val="18"/>
              </w:rPr>
              <w:t>Planned migration</w:t>
            </w:r>
          </w:p>
        </w:tc>
      </w:tr>
      <w:tr>
        <w:tc>
          <w:tcPr>
            <w:tcW w:type="dxa" w:w="3137"/>
          </w:tcPr>
          <w:p>
            <w:pPr>
              <w:spacing w:after="40"/>
            </w:pPr>
            <w:r>
              <w:rPr>
                <w:sz w:val="18"/>
              </w:rPr>
            </w:r>
            <w:r>
              <w:rPr>
                <w:sz w:val="18"/>
              </w:rPr>
              <w:t>Notice used</w:t>
            </w:r>
          </w:p>
        </w:tc>
        <w:tc>
          <w:tcPr>
            <w:tcW w:type="dxa" w:w="3137"/>
          </w:tcPr>
          <w:p>
            <w:pPr>
              <w:spacing w:after="40"/>
            </w:pPr>
            <w:r>
              <w:rPr>
                <w:sz w:val="18"/>
              </w:rPr>
            </w:r>
            <w:r>
              <w:rPr>
                <w:sz w:val="18"/>
              </w:rPr>
              <w:t>0 days</w:t>
            </w:r>
          </w:p>
        </w:tc>
        <w:tc>
          <w:tcPr>
            <w:tcW w:type="dxa" w:w="3137"/>
          </w:tcPr>
          <w:p>
            <w:pPr>
              <w:spacing w:after="40"/>
            </w:pPr>
            <w:r>
              <w:rPr>
                <w:sz w:val="18"/>
              </w:rPr>
            </w:r>
            <w:r>
              <w:rPr>
                <w:sz w:val="18"/>
              </w:rPr>
              <w:t>41 days</w:t>
            </w:r>
          </w:p>
        </w:tc>
      </w:tr>
      <w:tr>
        <w:tc>
          <w:tcPr>
            <w:tcW w:type="dxa" w:w="3137"/>
          </w:tcPr>
          <w:p>
            <w:pPr>
              <w:spacing w:after="40"/>
            </w:pPr>
            <w:r>
              <w:rPr>
                <w:sz w:val="18"/>
              </w:rPr>
            </w:r>
            <w:r>
              <w:rPr>
                <w:sz w:val="18"/>
              </w:rPr>
              <w:t>Suite run against the new version</w:t>
            </w:r>
          </w:p>
        </w:tc>
        <w:tc>
          <w:tcPr>
            <w:tcW w:type="dxa" w:w="3137"/>
          </w:tcPr>
          <w:p>
            <w:pPr>
              <w:spacing w:after="40"/>
            </w:pPr>
            <w:r>
              <w:rPr>
                <w:sz w:val="18"/>
              </w:rPr>
            </w:r>
            <w:r>
              <w:rPr>
                <w:sz w:val="18"/>
              </w:rPr>
              <w:t>No suite</w:t>
            </w:r>
          </w:p>
        </w:tc>
        <w:tc>
          <w:tcPr>
            <w:tcW w:type="dxa" w:w="3137"/>
          </w:tcPr>
          <w:p>
            <w:pPr>
              <w:spacing w:after="40"/>
            </w:pPr>
            <w:r>
              <w:rPr>
                <w:sz w:val="18"/>
              </w:rPr>
            </w:r>
            <w:r>
              <w:rPr>
                <w:sz w:val="18"/>
              </w:rPr>
              <w:t>Day 2</w:t>
            </w:r>
          </w:p>
        </w:tc>
      </w:tr>
      <w:tr>
        <w:tc>
          <w:tcPr>
            <w:tcW w:type="dxa" w:w="3137"/>
          </w:tcPr>
          <w:p>
            <w:pPr>
              <w:spacing w:after="40"/>
            </w:pPr>
            <w:r>
              <w:rPr>
                <w:sz w:val="18"/>
              </w:rPr>
            </w:r>
            <w:r>
              <w:rPr>
                <w:sz w:val="18"/>
              </w:rPr>
              <w:t>Cases that changed outcome</w:t>
            </w:r>
          </w:p>
        </w:tc>
        <w:tc>
          <w:tcPr>
            <w:tcW w:type="dxa" w:w="3137"/>
          </w:tcPr>
          <w:p>
            <w:pPr>
              <w:spacing w:after="40"/>
            </w:pPr>
            <w:r>
              <w:rPr>
                <w:sz w:val="18"/>
              </w:rPr>
            </w:r>
            <w:r>
              <w:rPr>
                <w:sz w:val="18"/>
              </w:rPr>
              <w:t>Unknown</w:t>
            </w:r>
          </w:p>
        </w:tc>
        <w:tc>
          <w:tcPr>
            <w:tcW w:type="dxa" w:w="3137"/>
          </w:tcPr>
          <w:p>
            <w:pPr>
              <w:spacing w:after="40"/>
            </w:pPr>
            <w:r>
              <w:rPr>
                <w:sz w:val="18"/>
              </w:rPr>
            </w:r>
            <w:r>
              <w:rPr>
                <w:sz w:val="18"/>
              </w:rPr>
              <w:t>34 of 300</w:t>
            </w:r>
          </w:p>
        </w:tc>
      </w:tr>
      <w:tr>
        <w:tc>
          <w:tcPr>
            <w:tcW w:type="dxa" w:w="3137"/>
          </w:tcPr>
          <w:p>
            <w:pPr>
              <w:spacing w:after="40"/>
            </w:pPr>
            <w:r>
              <w:rPr>
                <w:sz w:val="18"/>
              </w:rPr>
            </w:r>
            <w:r>
              <w:rPr>
                <w:sz w:val="18"/>
              </w:rPr>
              <w:t>Shape assertions failed</w:t>
            </w:r>
          </w:p>
        </w:tc>
        <w:tc>
          <w:tcPr>
            <w:tcW w:type="dxa" w:w="3137"/>
          </w:tcPr>
          <w:p>
            <w:pPr>
              <w:spacing w:after="40"/>
            </w:pPr>
            <w:r>
              <w:rPr>
                <w:sz w:val="18"/>
              </w:rPr>
            </w:r>
            <w:r>
              <w:rPr>
                <w:sz w:val="18"/>
              </w:rPr>
              <w:t>Unknown</w:t>
            </w:r>
          </w:p>
        </w:tc>
        <w:tc>
          <w:tcPr>
            <w:tcW w:type="dxa" w:w="3137"/>
          </w:tcPr>
          <w:p>
            <w:pPr>
              <w:spacing w:after="40"/>
            </w:pPr>
            <w:r>
              <w:rPr>
                <w:sz w:val="18"/>
              </w:rPr>
            </w:r>
            <w:r>
              <w:rPr>
                <w:sz w:val="18"/>
              </w:rPr>
              <w:t>2 (confidence range again)</w:t>
            </w:r>
          </w:p>
        </w:tc>
      </w:tr>
      <w:tr>
        <w:tc>
          <w:tcPr>
            <w:tcW w:type="dxa" w:w="3137"/>
          </w:tcPr>
          <w:p>
            <w:pPr>
              <w:spacing w:after="40"/>
            </w:pPr>
            <w:r>
              <w:rPr>
                <w:sz w:val="18"/>
              </w:rPr>
            </w:r>
            <w:r>
              <w:rPr>
                <w:sz w:val="18"/>
              </w:rPr>
              <w:t>Threshold adjustments needed</w:t>
            </w:r>
          </w:p>
        </w:tc>
        <w:tc>
          <w:tcPr>
            <w:tcW w:type="dxa" w:w="3137"/>
          </w:tcPr>
          <w:p>
            <w:pPr>
              <w:spacing w:after="40"/>
            </w:pPr>
            <w:r>
              <w:rPr>
                <w:sz w:val="18"/>
              </w:rPr>
            </w:r>
            <w:r>
              <w:rPr>
                <w:sz w:val="18"/>
              </w:rPr>
              <w:t>Discovered in production</w:t>
            </w:r>
          </w:p>
        </w:tc>
        <w:tc>
          <w:tcPr>
            <w:tcW w:type="dxa" w:w="3137"/>
          </w:tcPr>
          <w:p>
            <w:pPr>
              <w:spacing w:after="40"/>
            </w:pPr>
            <w:r>
              <w:rPr>
                <w:sz w:val="18"/>
              </w:rPr>
            </w:r>
            <w:r>
              <w:rPr>
                <w:sz w:val="18"/>
              </w:rPr>
              <w:t>1, made before cutover</w:t>
            </w:r>
          </w:p>
        </w:tc>
      </w:tr>
      <w:tr>
        <w:tc>
          <w:tcPr>
            <w:tcW w:type="dxa" w:w="3137"/>
          </w:tcPr>
          <w:p>
            <w:pPr>
              <w:spacing w:after="40"/>
            </w:pPr>
            <w:r>
              <w:rPr>
                <w:sz w:val="18"/>
              </w:rPr>
            </w:r>
            <w:r>
              <w:rPr>
                <w:sz w:val="18"/>
              </w:rPr>
              <w:t>Parallel running</w:t>
            </w:r>
          </w:p>
        </w:tc>
        <w:tc>
          <w:tcPr>
            <w:tcW w:type="dxa" w:w="3137"/>
          </w:tcPr>
          <w:p>
            <w:pPr>
              <w:spacing w:after="40"/>
            </w:pPr>
            <w:r>
              <w:rPr>
                <w:sz w:val="18"/>
              </w:rPr>
            </w:r>
            <w:r>
              <w:rPr>
                <w:sz w:val="18"/>
              </w:rPr>
              <w:t>None</w:t>
            </w:r>
          </w:p>
        </w:tc>
        <w:tc>
          <w:tcPr>
            <w:tcW w:type="dxa" w:w="3137"/>
          </w:tcPr>
          <w:p>
            <w:pPr>
              <w:spacing w:after="40"/>
            </w:pPr>
            <w:r>
              <w:rPr>
                <w:sz w:val="18"/>
              </w:rPr>
            </w:r>
            <w:r>
              <w:rPr>
                <w:sz w:val="18"/>
              </w:rPr>
              <w:t>2 weeks</w:t>
            </w:r>
          </w:p>
        </w:tc>
      </w:tr>
      <w:tr>
        <w:tc>
          <w:tcPr>
            <w:tcW w:type="dxa" w:w="3137"/>
          </w:tcPr>
          <w:p>
            <w:pPr>
              <w:spacing w:after="40"/>
            </w:pPr>
            <w:r>
              <w:rPr>
                <w:sz w:val="18"/>
              </w:rPr>
            </w:r>
            <w:r>
              <w:rPr>
                <w:sz w:val="18"/>
              </w:rPr>
              <w:t>Downtime</w:t>
            </w:r>
          </w:p>
        </w:tc>
        <w:tc>
          <w:tcPr>
            <w:tcW w:type="dxa" w:w="3137"/>
          </w:tcPr>
          <w:p>
            <w:pPr>
              <w:spacing w:after="40"/>
            </w:pPr>
            <w:r>
              <w:rPr>
                <w:sz w:val="18"/>
              </w:rPr>
            </w:r>
            <w:r>
              <w:rPr>
                <w:sz w:val="18"/>
              </w:rPr>
              <w:t>2 h 6 min</w:t>
            </w:r>
          </w:p>
        </w:tc>
        <w:tc>
          <w:tcPr>
            <w:tcW w:type="dxa" w:w="3137"/>
          </w:tcPr>
          <w:p>
            <w:pPr>
              <w:spacing w:after="40"/>
            </w:pPr>
            <w:r>
              <w:rPr>
                <w:sz w:val="18"/>
              </w:rPr>
            </w:r>
            <w:r>
              <w:rPr>
                <w:sz w:val="18"/>
              </w:rPr>
              <w:t>0</w:t>
            </w:r>
          </w:p>
        </w:tc>
      </w:tr>
      <w:tr>
        <w:tc>
          <w:tcPr>
            <w:tcW w:type="dxa" w:w="3137"/>
          </w:tcPr>
          <w:p>
            <w:pPr>
              <w:spacing w:after="40"/>
            </w:pPr>
            <w:r>
              <w:rPr>
                <w:sz w:val="18"/>
              </w:rPr>
            </w:r>
            <w:r>
              <w:rPr>
                <w:sz w:val="18"/>
              </w:rPr>
              <w:t>Claims re-triaged</w:t>
            </w:r>
          </w:p>
        </w:tc>
        <w:tc>
          <w:tcPr>
            <w:tcW w:type="dxa" w:w="3137"/>
          </w:tcPr>
          <w:p>
            <w:pPr>
              <w:spacing w:after="40"/>
            </w:pPr>
            <w:r>
              <w:rPr>
                <w:sz w:val="18"/>
              </w:rPr>
            </w:r>
            <w:r>
              <w:rPr>
                <w:sz w:val="18"/>
              </w:rPr>
              <w:t>1,400</w:t>
            </w:r>
          </w:p>
        </w:tc>
        <w:tc>
          <w:tcPr>
            <w:tcW w:type="dxa" w:w="3137"/>
          </w:tcPr>
          <w:p>
            <w:pPr>
              <w:spacing w:after="40"/>
            </w:pPr>
            <w:r>
              <w:rPr>
                <w:sz w:val="18"/>
              </w:rPr>
            </w:r>
            <w:r>
              <w:rPr>
                <w:sz w:val="18"/>
              </w:rPr>
              <w:t>0</w:t>
            </w:r>
          </w:p>
        </w:tc>
      </w:tr>
    </w:tbl>
    <w:p>
      <w:pPr>
        <w:spacing w:after="40"/>
      </w:pPr>
    </w:p>
    <w:p>
      <w:r>
        <w:t>The confidence range failed again on the next version, which is the strongest argument for that particular assertion. It is not a one-off property of one migration; it moves whenever the model does.</w:t>
      </w:r>
    </w:p>
    <w:p>
      <w:pPr>
        <w:pStyle w:val="Heading1"/>
      </w:pPr>
      <w:r>
        <w:t>What was learned</w:t>
      </w:r>
    </w:p>
    <w:p>
      <w:r>
        <w:rPr>
          <w:b/>
        </w:rPr>
        <w:t>A deprecation notice is a comparison window.</w:t>
      </w:r>
      <w:r>
        <w:t xml:space="preserve"> It is the only period in which both versions exist and can be run side by side, and it is finite.</w:t>
      </w:r>
    </w:p>
    <w:p>
      <w:r>
        <w:rPr>
          <w:b/>
        </w:rPr>
        <w:t>Errors are the easy failures.</w:t>
      </w:r>
      <w:r>
        <w:t xml:space="preserve"> The outage was two hours. The three days of silently different behaviour cost 180 hours.</w:t>
      </w:r>
    </w:p>
    <w:p>
      <w:r>
        <w:rPr>
          <w:b/>
        </w:rPr>
        <w:t>Assert on shape, not only on accuracy.</w:t>
      </w:r>
      <w:r>
        <w:t xml:space="preserve"> Confidence scale and reason length broke downstream systems while the triage decisions themselves remained defensible.</w:t>
      </w:r>
    </w:p>
    <w:p>
      <w:r>
        <w:rPr>
          <w:b/>
        </w:rPr>
        <w:t>Know which thresholds are calibrated to a model.</w:t>
      </w:r>
      <w:r>
        <w:t xml:space="preserve"> There were three, none documented, and one of them silently stopped an entire auto-approval path.</w:t>
      </w:r>
    </w:p>
    <w:p>
      <w:r>
        <w:rPr>
          <w:b/>
        </w:rPr>
        <w:t>Route provider notices to a team, not a person.</w:t>
      </w:r>
      <w:r>
        <w:t xml:space="preserve"> The whole incident began with an email nobody was responsible for reading.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Deprecation Notice Nobody Read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Deprecation Notice Nobody Read</dc:title>
  <dc:subject/>
  <dc:creator>BvLogic</dc:creator>
  <cp:keywords>BvLogic, Example, enterprise AI, Worked Example: The Deprecation Notice Nobody Read</cp:keywords>
  <dc:description/>
  <cp:lastModifiedBy/>
  <cp:revision>1</cp:revision>
  <dcterms:created xsi:type="dcterms:W3CDTF">2013-12-23T23:15:00Z</dcterms:created>
  <dcterms:modified xsi:type="dcterms:W3CDTF">2013-12-23T23:15:00Z</dcterms:modified>
  <cp:category>Example</cp:category>
  <dc:language>en-GB</dc:language>
</cp:coreProperties>
</file>