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Retrieval Regression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BVL-D18413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system, migration and figures are invented. The scenario is common: the knowledge base changes, no code changes, and retrieval quietly moves.</w:t>
      </w:r>
    </w:p>
    <w:p>
      <w:r>
        <w:t>---</w:t>
      </w:r>
    </w:p>
    <w:p>
      <w:pPr>
        <w:pStyle w:val="Heading1"/>
      </w:pPr>
      <w:r>
        <w:t>Retrieval regression: knowledge base migration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System</w:t>
            </w:r>
          </w:p>
        </w:tc>
        <w:tc>
          <w:tcPr>
            <w:tcW w:type="dxa" w:w="4706"/>
            <w:shd w:val="clear" w:color="auto" w:fill="F1EAFE"/>
          </w:tcPr>
          <w:p>
            <w:pPr>
              <w:spacing w:after="40"/>
            </w:pPr>
            <w:r>
              <w:rPr>
                <w:b/>
                <w:sz w:val="18"/>
              </w:rPr>
            </w:r>
            <w:r>
              <w:rPr>
                <w:b/>
                <w:sz w:val="18"/>
              </w:rPr>
              <w:t>Internal technical support assistant</w:t>
            </w:r>
          </w:p>
        </w:tc>
      </w:tr>
      <w:tr>
        <w:tc>
          <w:tcPr>
            <w:tcW w:type="dxa" w:w="4706"/>
          </w:tcPr>
          <w:p>
            <w:pPr>
              <w:spacing w:after="40"/>
            </w:pPr>
            <w:r>
              <w:rPr>
                <w:sz w:val="18"/>
              </w:rPr>
            </w:r>
            <w:r>
              <w:rPr>
                <w:sz w:val="18"/>
              </w:rPr>
              <w:t>Change</w:t>
            </w:r>
          </w:p>
        </w:tc>
        <w:tc>
          <w:tcPr>
            <w:tcW w:type="dxa" w:w="4706"/>
          </w:tcPr>
          <w:p>
            <w:pPr>
              <w:spacing w:after="40"/>
            </w:pPr>
            <w:r>
              <w:rPr>
                <w:sz w:val="18"/>
              </w:rPr>
            </w:r>
            <w:r>
              <w:rPr>
                <w:sz w:val="18"/>
              </w:rPr>
              <w:t>Content migrated to a new documentation platform. Same material, re-exported.</w:t>
            </w:r>
          </w:p>
        </w:tc>
      </w:tr>
      <w:tr>
        <w:tc>
          <w:tcPr>
            <w:tcW w:type="dxa" w:w="4706"/>
          </w:tcPr>
          <w:p>
            <w:pPr>
              <w:spacing w:after="40"/>
            </w:pPr>
            <w:r>
              <w:rPr>
                <w:sz w:val="18"/>
              </w:rPr>
            </w:r>
            <w:r>
              <w:rPr>
                <w:sz w:val="18"/>
              </w:rPr>
              <w:t>Our code</w:t>
            </w:r>
          </w:p>
        </w:tc>
        <w:tc>
          <w:tcPr>
            <w:tcW w:type="dxa" w:w="4706"/>
          </w:tcPr>
          <w:p>
            <w:pPr>
              <w:spacing w:after="40"/>
            </w:pPr>
            <w:r>
              <w:rPr>
                <w:sz w:val="18"/>
              </w:rPr>
            </w:r>
            <w:r>
              <w:rPr>
                <w:sz w:val="18"/>
              </w:rPr>
              <w:t>Unchanged. Same chunker, same embedding model, same query path.</w:t>
            </w:r>
          </w:p>
        </w:tc>
      </w:tr>
      <w:tr>
        <w:tc>
          <w:tcPr>
            <w:tcW w:type="dxa" w:w="4706"/>
          </w:tcPr>
          <w:p>
            <w:pPr>
              <w:spacing w:after="40"/>
            </w:pPr>
            <w:r>
              <w:rPr>
                <w:sz w:val="18"/>
              </w:rPr>
            </w:r>
            <w:r>
              <w:rPr>
                <w:sz w:val="18"/>
              </w:rPr>
              <w:t>Golden set</w:t>
            </w:r>
          </w:p>
        </w:tc>
        <w:tc>
          <w:tcPr>
            <w:tcW w:type="dxa" w:w="4706"/>
          </w:tcPr>
          <w:p>
            <w:pPr>
              <w:spacing w:after="40"/>
            </w:pPr>
            <w:r>
              <w:rPr>
                <w:sz w:val="18"/>
              </w:rPr>
            </w:r>
            <w:r>
              <w:rPr>
                <w:sz w:val="18"/>
              </w:rPr>
              <w:t>220 queries, each with the document that must be retrieved, labelled by hand</w:t>
            </w:r>
          </w:p>
        </w:tc>
      </w:tr>
      <w:tr>
        <w:tc>
          <w:tcPr>
            <w:tcW w:type="dxa" w:w="4706"/>
          </w:tcPr>
          <w:p>
            <w:pPr>
              <w:spacing w:after="40"/>
            </w:pPr>
            <w:r>
              <w:rPr>
                <w:sz w:val="18"/>
              </w:rPr>
            </w:r>
            <w:r>
              <w:rPr>
                <w:sz w:val="18"/>
              </w:rPr>
              <w:t>Run</w:t>
            </w:r>
          </w:p>
        </w:tc>
        <w:tc>
          <w:tcPr>
            <w:tcW w:type="dxa" w:w="4706"/>
          </w:tcPr>
          <w:p>
            <w:pPr>
              <w:spacing w:after="40"/>
            </w:pPr>
            <w:r>
              <w:rPr>
                <w:sz w:val="18"/>
              </w:rPr>
            </w:r>
            <w:r>
              <w:rPr>
                <w:sz w:val="18"/>
              </w:rPr>
              <w:t>Before migration and after, same queries, same day</w:t>
            </w:r>
          </w:p>
        </w:tc>
      </w:tr>
    </w:tbl>
    <w:p>
      <w:pPr>
        <w:spacing w:after="40"/>
      </w:pPr>
    </w:p>
    <w:p>
      <w:pPr>
        <w:pStyle w:val="Heading1"/>
      </w:pPr>
      <w:r>
        <w:t>1. Result</w:t>
      </w:r>
    </w:p>
    <w:p>
      <w:r>
        <w:rPr>
          <w:b/>
        </w:rPr>
        <w:t>Do not cut over.</w:t>
      </w:r>
      <w:r>
        <w:t xml:space="preserve"> Aggregate recall is flat. Twenty-six per cent of the golden set changed outcome, and the losses are concentrated in the queries that matter most.</w:t>
      </w:r>
    </w:p>
    <w:p>
      <w:pPr>
        <w:pStyle w:val="Heading1"/>
      </w:pPr>
      <w:r>
        <w:t>2. The aggregate that hid everything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Correct document in top 10</w:t>
            </w:r>
          </w:p>
        </w:tc>
        <w:tc>
          <w:tcPr>
            <w:tcW w:type="dxa" w:w="3137"/>
          </w:tcPr>
          <w:p>
            <w:pPr>
              <w:spacing w:after="40"/>
            </w:pPr>
            <w:r>
              <w:rPr>
                <w:sz w:val="18"/>
              </w:rPr>
            </w:r>
            <w:r>
              <w:rPr>
                <w:sz w:val="18"/>
              </w:rPr>
              <w:t>88.2%</w:t>
            </w:r>
          </w:p>
        </w:tc>
        <w:tc>
          <w:tcPr>
            <w:tcW w:type="dxa" w:w="3137"/>
          </w:tcPr>
          <w:p>
            <w:pPr>
              <w:spacing w:after="40"/>
            </w:pPr>
            <w:r>
              <w:rPr>
                <w:sz w:val="18"/>
              </w:rPr>
            </w:r>
            <w:r>
              <w:rPr>
                <w:sz w:val="18"/>
              </w:rPr>
              <w:t>87.7%</w:t>
            </w:r>
          </w:p>
        </w:tc>
      </w:tr>
      <w:tr>
        <w:tc>
          <w:tcPr>
            <w:tcW w:type="dxa" w:w="3137"/>
          </w:tcPr>
          <w:p>
            <w:pPr>
              <w:spacing w:after="40"/>
            </w:pPr>
            <w:r>
              <w:rPr>
                <w:sz w:val="18"/>
              </w:rPr>
            </w:r>
            <w:r>
              <w:rPr>
                <w:sz w:val="18"/>
              </w:rPr>
              <w:t>Correct document in top 3</w:t>
            </w:r>
          </w:p>
        </w:tc>
        <w:tc>
          <w:tcPr>
            <w:tcW w:type="dxa" w:w="3137"/>
          </w:tcPr>
          <w:p>
            <w:pPr>
              <w:spacing w:after="40"/>
            </w:pPr>
            <w:r>
              <w:rPr>
                <w:sz w:val="18"/>
              </w:rPr>
            </w:r>
            <w:r>
              <w:rPr>
                <w:sz w:val="18"/>
              </w:rPr>
              <w:t>79.5%</w:t>
            </w:r>
          </w:p>
        </w:tc>
        <w:tc>
          <w:tcPr>
            <w:tcW w:type="dxa" w:w="3137"/>
          </w:tcPr>
          <w:p>
            <w:pPr>
              <w:spacing w:after="40"/>
            </w:pPr>
            <w:r>
              <w:rPr>
                <w:sz w:val="18"/>
              </w:rPr>
            </w:r>
            <w:r>
              <w:rPr>
                <w:sz w:val="18"/>
              </w:rPr>
              <w:t>78.6%</w:t>
            </w:r>
          </w:p>
        </w:tc>
      </w:tr>
      <w:tr>
        <w:tc>
          <w:tcPr>
            <w:tcW w:type="dxa" w:w="3137"/>
          </w:tcPr>
          <w:p>
            <w:pPr>
              <w:spacing w:after="40"/>
            </w:pPr>
            <w:r>
              <w:rPr>
                <w:sz w:val="18"/>
              </w:rPr>
            </w:r>
            <w:r>
              <w:rPr>
                <w:sz w:val="18"/>
              </w:rPr>
              <w:t>Correct document ranked first</w:t>
            </w:r>
          </w:p>
        </w:tc>
        <w:tc>
          <w:tcPr>
            <w:tcW w:type="dxa" w:w="3137"/>
          </w:tcPr>
          <w:p>
            <w:pPr>
              <w:spacing w:after="40"/>
            </w:pPr>
            <w:r>
              <w:rPr>
                <w:sz w:val="18"/>
              </w:rPr>
            </w:r>
            <w:r>
              <w:rPr>
                <w:sz w:val="18"/>
              </w:rPr>
              <w:t>64.1%</w:t>
            </w:r>
          </w:p>
        </w:tc>
        <w:tc>
          <w:tcPr>
            <w:tcW w:type="dxa" w:w="3137"/>
          </w:tcPr>
          <w:p>
            <w:pPr>
              <w:spacing w:after="40"/>
            </w:pPr>
            <w:r>
              <w:rPr>
                <w:sz w:val="18"/>
              </w:rPr>
            </w:r>
            <w:r>
              <w:rPr>
                <w:sz w:val="18"/>
              </w:rPr>
              <w:t>63.2%</w:t>
            </w:r>
          </w:p>
        </w:tc>
      </w:tr>
    </w:tbl>
    <w:p>
      <w:pPr>
        <w:spacing w:after="40"/>
      </w:pPr>
    </w:p>
    <w:p>
      <w:r>
        <w:t>Half a point down across the board. On these three rows the migration is a non-event, and this is what would have been reported had the golden set been scored only in aggregate.</w:t>
      </w:r>
    </w:p>
    <w:p>
      <w:pPr>
        <w:pStyle w:val="Heading1"/>
      </w:pPr>
      <w:r>
        <w:t>3. Query by query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Queries</w:t>
            </w:r>
          </w:p>
        </w:tc>
      </w:tr>
      <w:tr>
        <w:tc>
          <w:tcPr>
            <w:tcW w:type="dxa" w:w="4706"/>
          </w:tcPr>
          <w:p>
            <w:pPr>
              <w:spacing w:after="40"/>
            </w:pPr>
            <w:r>
              <w:rPr>
                <w:sz w:val="18"/>
              </w:rPr>
            </w:r>
            <w:r>
              <w:rPr>
                <w:sz w:val="18"/>
              </w:rPr>
              <w:t>Improved</w:t>
            </w:r>
          </w:p>
        </w:tc>
        <w:tc>
          <w:tcPr>
            <w:tcW w:type="dxa" w:w="4706"/>
          </w:tcPr>
          <w:p>
            <w:pPr>
              <w:spacing w:after="40"/>
            </w:pPr>
            <w:r>
              <w:rPr>
                <w:sz w:val="18"/>
              </w:rPr>
            </w:r>
            <w:r>
              <w:rPr>
                <w:sz w:val="18"/>
              </w:rPr>
              <w:t>28</w:t>
            </w:r>
          </w:p>
        </w:tc>
      </w:tr>
      <w:tr>
        <w:tc>
          <w:tcPr>
            <w:tcW w:type="dxa" w:w="4706"/>
          </w:tcPr>
          <w:p>
            <w:pPr>
              <w:spacing w:after="40"/>
            </w:pPr>
            <w:r>
              <w:rPr>
                <w:sz w:val="18"/>
              </w:rPr>
            </w:r>
            <w:r>
              <w:rPr>
                <w:sz w:val="18"/>
              </w:rPr>
              <w:t>Regressed</w:t>
            </w:r>
          </w:p>
        </w:tc>
        <w:tc>
          <w:tcPr>
            <w:tcW w:type="dxa" w:w="4706"/>
          </w:tcPr>
          <w:p>
            <w:pPr>
              <w:spacing w:after="40"/>
            </w:pPr>
            <w:r>
              <w:rPr>
                <w:sz w:val="18"/>
              </w:rPr>
            </w:r>
            <w:r>
              <w:rPr>
                <w:sz w:val="18"/>
              </w:rPr>
              <w:t>30</w:t>
            </w:r>
          </w:p>
        </w:tc>
      </w:tr>
      <w:tr>
        <w:tc>
          <w:tcPr>
            <w:tcW w:type="dxa" w:w="4706"/>
          </w:tcPr>
          <w:p>
            <w:pPr>
              <w:spacing w:after="40"/>
            </w:pPr>
            <w:r>
              <w:rPr>
                <w:sz w:val="18"/>
              </w:rPr>
            </w:r>
            <w:r>
              <w:rPr>
                <w:sz w:val="18"/>
              </w:rPr>
              <w:t>Unchanged</w:t>
            </w:r>
          </w:p>
        </w:tc>
        <w:tc>
          <w:tcPr>
            <w:tcW w:type="dxa" w:w="4706"/>
          </w:tcPr>
          <w:p>
            <w:pPr>
              <w:spacing w:after="40"/>
            </w:pPr>
            <w:r>
              <w:rPr>
                <w:sz w:val="18"/>
              </w:rPr>
            </w:r>
            <w:r>
              <w:rPr>
                <w:sz w:val="18"/>
              </w:rPr>
              <w:t>162</w:t>
            </w:r>
          </w:p>
        </w:tc>
      </w:tr>
    </w:tbl>
    <w:p>
      <w:pPr>
        <w:spacing w:after="40"/>
      </w:pPr>
    </w:p>
    <w:p>
      <w:r>
        <w:rPr>
          <w:b/>
        </w:rPr>
        <w:t>Fifty-eight queries, 26% of the set, moved.</w:t>
      </w:r>
      <w:r>
        <w:t xml:space="preserve"> They net to −2, which is how a quarter of a system changing behaviour presents as half a point.</w:t>
      </w:r>
    </w:p>
    <w:p>
      <w:r>
        <w:t>The 30 regressions group into three causes, and none of them is subtle once seen.</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Cause</w:t>
            </w:r>
          </w:p>
        </w:tc>
        <w:tc>
          <w:tcPr>
            <w:tcW w:type="dxa" w:w="3137"/>
            <w:shd w:val="clear" w:color="auto" w:fill="F1EAFE"/>
          </w:tcPr>
          <w:p>
            <w:pPr>
              <w:spacing w:after="40"/>
            </w:pPr>
            <w:r>
              <w:rPr>
                <w:b/>
                <w:sz w:val="18"/>
              </w:rPr>
            </w:r>
            <w:r>
              <w:rPr>
                <w:b/>
                <w:sz w:val="18"/>
              </w:rPr>
              <w:t>Queries</w:t>
            </w:r>
          </w:p>
        </w:tc>
        <w:tc>
          <w:tcPr>
            <w:tcW w:type="dxa" w:w="3137"/>
            <w:shd w:val="clear" w:color="auto" w:fill="F1EAFE"/>
          </w:tcPr>
          <w:p>
            <w:pPr>
              <w:spacing w:after="40"/>
            </w:pPr>
            <w:r>
              <w:rPr>
                <w:b/>
                <w:sz w:val="18"/>
              </w:rPr>
            </w:r>
            <w:r>
              <w:rPr>
                <w:b/>
                <w:sz w:val="18"/>
              </w:rPr>
              <w:t>What the migration did</w:t>
            </w:r>
          </w:p>
        </w:tc>
      </w:tr>
      <w:tr>
        <w:tc>
          <w:tcPr>
            <w:tcW w:type="dxa" w:w="3137"/>
          </w:tcPr>
          <w:p>
            <w:pPr>
              <w:spacing w:after="40"/>
            </w:pPr>
            <w:r>
              <w:rPr>
                <w:sz w:val="18"/>
              </w:rPr>
            </w:r>
            <w:r>
              <w:rPr>
                <w:sz w:val="18"/>
              </w:rPr>
              <w:t>Heading hierarchy flattened</w:t>
            </w:r>
          </w:p>
        </w:tc>
        <w:tc>
          <w:tcPr>
            <w:tcW w:type="dxa" w:w="3137"/>
          </w:tcPr>
          <w:p>
            <w:pPr>
              <w:spacing w:after="40"/>
            </w:pPr>
            <w:r>
              <w:rPr>
                <w:sz w:val="18"/>
              </w:rPr>
            </w:r>
            <w:r>
              <w:rPr>
                <w:sz w:val="18"/>
              </w:rPr>
              <w:t>14</w:t>
            </w:r>
          </w:p>
        </w:tc>
        <w:tc>
          <w:tcPr>
            <w:tcW w:type="dxa" w:w="3137"/>
          </w:tcPr>
          <w:p>
            <w:pPr>
              <w:spacing w:after="40"/>
            </w:pPr>
            <w:r>
              <w:rPr>
                <w:sz w:val="18"/>
              </w:rPr>
            </w:r>
            <w:r>
              <w:rPr>
                <w:sz w:val="18"/>
              </w:rPr>
              <w:t>H2/H3 exported as bold paragraphs, so chunking lost structure</w:t>
            </w:r>
          </w:p>
        </w:tc>
      </w:tr>
      <w:tr>
        <w:tc>
          <w:tcPr>
            <w:tcW w:type="dxa" w:w="3137"/>
          </w:tcPr>
          <w:p>
            <w:pPr>
              <w:spacing w:after="40"/>
            </w:pPr>
            <w:r>
              <w:rPr>
                <w:sz w:val="18"/>
              </w:rPr>
            </w:r>
            <w:r>
              <w:rPr>
                <w:sz w:val="18"/>
              </w:rPr>
              <w:t>Tables exported as pipe-delimited text</w:t>
            </w:r>
          </w:p>
        </w:tc>
        <w:tc>
          <w:tcPr>
            <w:tcW w:type="dxa" w:w="3137"/>
          </w:tcPr>
          <w:p>
            <w:pPr>
              <w:spacing w:after="40"/>
            </w:pPr>
            <w:r>
              <w:rPr>
                <w:sz w:val="18"/>
              </w:rPr>
            </w:r>
            <w:r>
              <w:rPr>
                <w:sz w:val="18"/>
              </w:rPr>
              <w:t>9</w:t>
            </w:r>
          </w:p>
        </w:tc>
        <w:tc>
          <w:tcPr>
            <w:tcW w:type="dxa" w:w="3137"/>
          </w:tcPr>
          <w:p>
            <w:pPr>
              <w:spacing w:after="40"/>
            </w:pPr>
            <w:r>
              <w:rPr>
                <w:sz w:val="18"/>
              </w:rPr>
            </w:r>
            <w:r>
              <w:rPr>
                <w:sz w:val="18"/>
              </w:rPr>
              <w:t>Column headers no longer attached to values</w:t>
            </w:r>
          </w:p>
        </w:tc>
      </w:tr>
      <w:tr>
        <w:tc>
          <w:tcPr>
            <w:tcW w:type="dxa" w:w="3137"/>
          </w:tcPr>
          <w:p>
            <w:pPr>
              <w:spacing w:after="40"/>
            </w:pPr>
            <w:r>
              <w:rPr>
                <w:sz w:val="18"/>
              </w:rPr>
            </w:r>
            <w:r>
              <w:rPr>
                <w:sz w:val="18"/>
              </w:rPr>
              <w:t>Code blocks merged with prose</w:t>
            </w:r>
          </w:p>
        </w:tc>
        <w:tc>
          <w:tcPr>
            <w:tcW w:type="dxa" w:w="3137"/>
          </w:tcPr>
          <w:p>
            <w:pPr>
              <w:spacing w:after="40"/>
            </w:pPr>
            <w:r>
              <w:rPr>
                <w:sz w:val="18"/>
              </w:rPr>
            </w:r>
            <w:r>
              <w:rPr>
                <w:sz w:val="18"/>
              </w:rPr>
              <w:t>5</w:t>
            </w:r>
          </w:p>
        </w:tc>
        <w:tc>
          <w:tcPr>
            <w:tcW w:type="dxa" w:w="3137"/>
          </w:tcPr>
          <w:p>
            <w:pPr>
              <w:spacing w:after="40"/>
            </w:pPr>
            <w:r>
              <w:rPr>
                <w:sz w:val="18"/>
              </w:rPr>
            </w:r>
            <w:r>
              <w:rPr>
                <w:sz w:val="18"/>
              </w:rPr>
              <w:t>Chunk boundaries fall mid-example</w:t>
            </w:r>
          </w:p>
        </w:tc>
      </w:tr>
      <w:tr>
        <w:tc>
          <w:tcPr>
            <w:tcW w:type="dxa" w:w="3137"/>
          </w:tcPr>
          <w:p>
            <w:pPr>
              <w:spacing w:after="40"/>
            </w:pPr>
            <w:r>
              <w:rPr>
                <w:sz w:val="18"/>
              </w:rPr>
            </w:r>
            <w:r>
              <w:rPr>
                <w:sz w:val="18"/>
              </w:rPr>
              <w:t>No pattern found</w:t>
            </w:r>
          </w:p>
        </w:tc>
        <w:tc>
          <w:tcPr>
            <w:tcW w:type="dxa" w:w="3137"/>
          </w:tcPr>
          <w:p>
            <w:pPr>
              <w:spacing w:after="40"/>
            </w:pPr>
            <w:r>
              <w:rPr>
                <w:sz w:val="18"/>
              </w:rPr>
            </w:r>
            <w:r>
              <w:rPr>
                <w:sz w:val="18"/>
              </w:rPr>
              <w:t>2</w:t>
            </w:r>
          </w:p>
        </w:tc>
        <w:tc>
          <w:tcPr>
            <w:tcW w:type="dxa" w:w="3137"/>
          </w:tcPr>
          <w:p>
            <w:pPr>
              <w:spacing w:after="40"/>
            </w:pPr>
            <w:r>
              <w:rPr>
                <w:sz w:val="18"/>
              </w:rPr>
            </w:r>
          </w:p>
        </w:tc>
      </w:tr>
    </w:tbl>
    <w:p>
      <w:pPr>
        <w:spacing w:after="40"/>
      </w:pPr>
    </w:p>
    <w:p>
      <w:r>
        <w:t xml:space="preserve">All three are export format, not content. The material is identical. </w:t>
      </w:r>
      <w:r>
        <w:rPr>
          <w:b/>
        </w:rPr>
        <w:t>The structure our chunker depends on was not preserved, and nothing in the migration plan mentioned structure because nothing had made it visible as a dependency.</w:t>
      </w:r>
    </w:p>
    <w:p>
      <w:pPr>
        <w:pStyle w:val="Heading1"/>
      </w:pPr>
      <w:r>
        <w:t>4. Why the regressions matter more than the improvements</w:t>
      </w:r>
    </w:p>
    <w:p>
      <w:r>
        <w:t>The 30 regressions include 11 of the 40 highest-frequency queries in the set. The 28 improvements include 2.</w:t>
      </w:r>
    </w:p>
    <w:p>
      <w:r>
        <w:t>Weighted by how often each query is actually asked, the picture inverts: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Unweighted recall at 3</w:t>
            </w:r>
          </w:p>
        </w:tc>
        <w:tc>
          <w:tcPr>
            <w:tcW w:type="dxa" w:w="3137"/>
          </w:tcPr>
          <w:p>
            <w:pPr>
              <w:spacing w:after="40"/>
            </w:pPr>
            <w:r>
              <w:rPr>
                <w:sz w:val="18"/>
              </w:rPr>
            </w:r>
            <w:r>
              <w:rPr>
                <w:sz w:val="18"/>
              </w:rPr>
              <w:t>79.5%</w:t>
            </w:r>
          </w:p>
        </w:tc>
        <w:tc>
          <w:tcPr>
            <w:tcW w:type="dxa" w:w="3137"/>
          </w:tcPr>
          <w:p>
            <w:pPr>
              <w:spacing w:after="40"/>
            </w:pPr>
            <w:r>
              <w:rPr>
                <w:sz w:val="18"/>
              </w:rPr>
            </w:r>
            <w:r>
              <w:rPr>
                <w:sz w:val="18"/>
              </w:rPr>
              <w:t>78.6%</w:t>
            </w:r>
          </w:p>
        </w:tc>
      </w:tr>
      <w:tr>
        <w:tc>
          <w:tcPr>
            <w:tcW w:type="dxa" w:w="3137"/>
          </w:tcPr>
          <w:p>
            <w:pPr>
              <w:spacing w:after="40"/>
            </w:pPr>
            <w:r>
              <w:rPr>
                <w:sz w:val="18"/>
              </w:rPr>
            </w:r>
            <w:r>
              <w:rPr>
                <w:b/>
                <w:sz w:val="18"/>
              </w:rPr>
              <w:t>Frequency-weighted recall at 3</w:t>
            </w:r>
          </w:p>
        </w:tc>
        <w:tc>
          <w:tcPr>
            <w:tcW w:type="dxa" w:w="3137"/>
          </w:tcPr>
          <w:p>
            <w:pPr>
              <w:spacing w:after="40"/>
            </w:pPr>
            <w:r>
              <w:rPr>
                <w:sz w:val="18"/>
              </w:rPr>
            </w:r>
            <w:r>
              <w:rPr>
                <w:b/>
                <w:sz w:val="18"/>
              </w:rPr>
              <w:t>83.1%</w:t>
            </w:r>
          </w:p>
        </w:tc>
        <w:tc>
          <w:tcPr>
            <w:tcW w:type="dxa" w:w="3137"/>
          </w:tcPr>
          <w:p>
            <w:pPr>
              <w:spacing w:after="40"/>
            </w:pPr>
            <w:r>
              <w:rPr>
                <w:sz w:val="18"/>
              </w:rPr>
            </w:r>
            <w:r>
              <w:rPr>
                <w:b/>
                <w:sz w:val="18"/>
              </w:rPr>
              <w:t>74.8%</w:t>
            </w:r>
          </w:p>
        </w:tc>
      </w:tr>
    </w:tbl>
    <w:p>
      <w:pPr>
        <w:spacing w:after="40"/>
      </w:pPr>
    </w:p>
    <w:p>
      <w:r>
        <w:rPr>
          <w:b/>
        </w:rPr>
        <w:t>An 8.3-point fall on the queries people actually ask.</w:t>
      </w:r>
      <w:r>
        <w:t xml:space="preserve"> The unweighted number is the one that looked flat.</w:t>
      </w:r>
    </w:p>
    <w:p>
      <w:r>
        <w:t>The 14 heading-hierarchy failures are concentrated in the configuration and troubleshooting sections, which are the most-read pages in the library. That is not coincidence, heavily structured documents are both the most useful and the most damaged by a flattening export.</w:t>
      </w:r>
    </w:p>
    <w:p>
      <w:pPr>
        <w:pStyle w:val="Heading1"/>
      </w:pPr>
      <w:r>
        <w:t>5. What did not change</w:t>
      </w:r>
    </w:p>
    <w:p>
      <w:pPr>
        <w:pStyle w:val="ListBullet"/>
      </w:pPr>
      <w:r>
        <w:rPr>
          <w:b/>
        </w:rPr>
        <w:t>Embedding model and query path.</w:t>
      </w:r>
      <w:r>
        <w:t xml:space="preserve"> Deliberately held constant, which is what makes this a</w:t>
      </w:r>
    </w:p>
    <w:p>
      <w:r>
        <w:t>clean comparison</w:t>
      </w:r>
    </w:p>
    <w:p>
      <w:pPr>
        <w:pStyle w:val="ListBullet"/>
      </w:pPr>
      <w:r>
        <w:rPr>
          <w:b/>
        </w:rPr>
        <w:t>Latency</w:t>
      </w:r>
      <w:r>
        <w:t xml:space="preserve"> unchanged</w:t>
      </w:r>
    </w:p>
    <w:p>
      <w:pPr>
        <w:pStyle w:val="ListBullet"/>
      </w:pPr>
      <w:r>
        <w:rPr>
          <w:b/>
        </w:rPr>
        <w:t>Queries with no correct answer in the library</w:t>
      </w:r>
      <w:r>
        <w:t xml:space="preserve"> still correctly return nothing useful,</w:t>
      </w:r>
    </w:p>
    <w:p>
      <w:r>
        <w:t>25 of 25</w:t>
      </w:r>
    </w:p>
    <w:p>
      <w:pPr>
        <w:pStyle w:val="ListBullet"/>
      </w:pPr>
      <w:r>
        <w:rPr>
          <w:b/>
        </w:rPr>
        <w:t>Duplicate detection</w:t>
      </w:r>
      <w:r>
        <w:t xml:space="preserve"> unaffected</w:t>
      </w:r>
    </w:p>
    <w:p>
      <w:r>
        <w:t>Holding everything else constant is the reason a cause could be identified at all. Had the platform migration coincided with a chunker change, this report could have described the effect and not the reason.</w:t>
      </w:r>
    </w:p>
    <w:p>
      <w:pPr>
        <w:pStyle w:val="Heading1"/>
      </w:pPr>
      <w:r>
        <w:t>6. What is needed before cutover</w:t>
      </w:r>
    </w:p>
    <w:p>
      <w:pPr>
        <w:pStyle w:val="ListNumber"/>
      </w:pPr>
      <w:r>
        <w:rPr>
          <w:b/>
        </w:rPr>
        <w:t>Export headings as headings.</w:t>
      </w:r>
      <w:r>
        <w:t xml:space="preserve"> The platform supports it; the migration used a default</w:t>
      </w:r>
    </w:p>
    <w:p>
      <w:r>
        <w:t>template that did not.</w:t>
      </w:r>
    </w:p>
    <w:p>
      <w:pPr>
        <w:pStyle w:val="ListNumber"/>
      </w:pPr>
      <w:r>
        <w:rPr>
          <w:b/>
        </w:rPr>
        <w:t>Export tables as tables</w:t>
      </w:r>
      <w:r>
        <w:t>, or as structured data the chunker can keep intact.</w:t>
      </w:r>
    </w:p>
    <w:p>
      <w:pPr>
        <w:pStyle w:val="ListNumber"/>
      </w:pPr>
      <w:r>
        <w:rPr>
          <w:b/>
        </w:rPr>
        <w:t>Keep code blocks as single units</w:t>
      </w:r>
      <w:r>
        <w:t xml:space="preserve"> with the surrounding explanation.</w:t>
      </w:r>
    </w:p>
    <w:p>
      <w:pPr>
        <w:pStyle w:val="ListNumber"/>
      </w:pPr>
      <w:r>
        <w:rPr>
          <w:b/>
        </w:rPr>
        <w:t>Re-run this golden set</w:t>
      </w:r>
      <w:r>
        <w:t xml:space="preserve"> and require frequency-weighted recall at 3 to be within one point</w:t>
      </w:r>
    </w:p>
    <w:p>
      <w:r>
        <w:t>of the current system.</w:t>
      </w:r>
    </w:p>
    <w:p>
      <w:r>
        <w:t>Estimated: three days of export configuration. The alternative, accepting the migration and recovering with chunker changes: was considered and rejected, because it makes the chunker absorb a problem created upstream and leaves the next export equally fragile.</w:t>
      </w:r>
    </w:p>
    <w:p>
      <w:pPr>
        <w:pStyle w:val="Heading1"/>
      </w:pPr>
      <w:r>
        <w:t>7. What this run added permanently</w:t>
      </w:r>
    </w:p>
    <w:p>
      <w:r>
        <w:rPr>
          <w:b/>
        </w:rPr>
        <w:t>Frequency weighting is now part of the golden set.</w:t>
      </w:r>
      <w:r>
        <w:t xml:space="preserve"> Each query carries how often it is asked. The unweighted figure remains reported, because a rare query that fails is still a failure, but the weighted figure is the gate.</w:t>
      </w:r>
    </w:p>
    <w:p>
      <w:r>
        <w:rPr>
          <w:b/>
        </w:rPr>
        <w:t>Structure preservation is now a migration requirement</w:t>
      </w:r>
      <w:r>
        <w:t>, written down. It was an invisible dependency of the retrieval system and it will be an invisible dependency of the next one.</w:t>
      </w:r>
    </w:p>
    <w:p>
      <w:r>
        <w:t>---</w:t>
      </w:r>
    </w:p>
    <w:p>
      <w:pPr>
        <w:pStyle w:val="Heading1"/>
      </w:pPr>
      <w:r>
        <w:t>Notes on using this format</w:t>
      </w:r>
    </w:p>
    <w:p>
      <w:r>
        <w:rPr>
          <w:b/>
        </w:rPr>
        <w:t>Compare query by query.</w:t>
      </w:r>
      <w:r>
        <w:t xml:space="preserve"> Twenty-six per cent of the set moved and the aggregate showed half a point. Aggregates measure whether the average changed, not whether the system did.</w:t>
      </w:r>
    </w:p>
    <w:p>
      <w:r>
        <w:rPr>
          <w:b/>
        </w:rPr>
        <w:t>Weight by frequency, and report both.</w:t>
      </w:r>
      <w:r>
        <w:t xml:space="preserve"> The unweighted number said the migration was harmless. The weighted number said it removed 8 points from the queries people ask.</w:t>
      </w:r>
    </w:p>
    <w:p>
      <w:r>
        <w:rPr>
          <w:b/>
        </w:rPr>
        <w:t>Hold everything else constant.</w:t>
      </w:r>
      <w:r>
        <w:t xml:space="preserve"> One change per comparison is what turns a result into a cause.</w:t>
      </w:r>
    </w:p>
    <w:p>
      <w:r>
        <w:rPr>
          <w:b/>
        </w:rPr>
        <w:t>Golden sets are cheap and permanent.</w:t>
      </w:r>
      <w:r>
        <w:t xml:space="preserve"> 220 hand-labelled queries took two days once, and this migration is the third time they have prevented a regression reaching production.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Retrieval Regression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Retrieval Regression Report: Sample</dc:title>
  <dc:subject/>
  <dc:creator>BvLogic</dc:creator>
  <cp:keywords>BvLogic, Report, enterprise AI, Retrieval Regression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