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QA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BVL-3B87FF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Release:</w:t>
      </w:r>
      <w:r>
        <w:t xml:space="preserve"> _______________  </w:t>
      </w:r>
      <w:r>
        <w:rPr>
          <w:b/>
        </w:rPr>
        <w:t>Date:</w:t>
      </w:r>
      <w:r>
        <w:t xml:space="preserve"> _______________  </w:t>
      </w:r>
      <w:r>
        <w:rPr>
          <w:b/>
        </w:rPr>
        <w:t>Completed by:</w:t>
      </w:r>
      <w:r>
        <w:t xml:space="preserve"> _______________</w:t>
      </w:r>
    </w:p>
    <w:p>
      <w:pPr>
        <w:ind w:left="454"/>
        <w:shd w:val="clear" w:color="auto" w:fill="FAFAFB"/>
      </w:pPr>
      <w:r>
        <w:rPr>
          <w:i/>
        </w:rPr>
        <w:t>Mark N/A with a reason. A blank box is not a pass.</w:t>
      </w:r>
    </w:p>
    <w:p>
      <w:r>
        <w:t>---</w:t>
      </w:r>
    </w:p>
    <w:p>
      <w:pPr>
        <w:pStyle w:val="Heading1"/>
      </w:pPr>
      <w:r>
        <w:t>1. Requirements coverage</w:t>
      </w:r>
    </w:p>
    <w:p>
      <w:pPr>
        <w:pStyle w:val="ListBullet"/>
      </w:pPr>
      <w:r>
        <w:t>[ ] Every requirement has at least one test case</w:t>
      </w:r>
    </w:p>
    <w:p>
      <w:pPr>
        <w:pStyle w:val="ListBullet"/>
      </w:pPr>
      <w:r>
        <w:t>[ ] Every test case has a recorded result</w:t>
      </w:r>
    </w:p>
    <w:p>
      <w:pPr>
        <w:pStyle w:val="ListBullet"/>
      </w:pPr>
      <w:r>
        <w:t>[ ] Traceability matrix complete and current</w:t>
      </w:r>
    </w:p>
    <w:p>
      <w:pPr>
        <w:pStyle w:val="ListBullet"/>
      </w:pPr>
      <w:r>
        <w:t>[ ] Requirements changed during build have been re-tested</w:t>
      </w:r>
    </w:p>
    <w:p>
      <w:pPr>
        <w:pStyle w:val="ListBullet"/>
      </w:pPr>
      <w:r>
        <w:t>[ ] Acceptance criteria met, as written, not as reinterpreted</w:t>
      </w:r>
    </w:p>
    <w:p>
      <w:pPr>
        <w:pStyle w:val="Heading1"/>
      </w:pPr>
      <w:r>
        <w:t>2. Functional</w:t>
      </w:r>
    </w:p>
    <w:p>
      <w:pPr>
        <w:pStyle w:val="ListBullet"/>
      </w:pPr>
      <w:r>
        <w:t>[ ] Happy path verified for every user role</w:t>
      </w:r>
    </w:p>
    <w:p>
      <w:pPr>
        <w:pStyle w:val="ListBullet"/>
      </w:pPr>
      <w:r>
        <w:t>[ ] Negative cases: missing input, wrong type, out of range</w:t>
      </w:r>
    </w:p>
    <w:p>
      <w:pPr>
        <w:pStyle w:val="ListBullet"/>
      </w:pPr>
      <w:r>
        <w:t>[ ] Boundary values tested at min, max, and one either side</w:t>
      </w:r>
    </w:p>
    <w:p>
      <w:pPr>
        <w:pStyle w:val="ListBullet"/>
      </w:pPr>
      <w:r>
        <w:t>[ ] Permissions verified per role, including what each role must NOT see</w:t>
      </w:r>
    </w:p>
    <w:p>
      <w:pPr>
        <w:pStyle w:val="ListBullet"/>
      </w:pPr>
      <w:r>
        <w:t>[ ] Concurrent access to the same record behaves correctly</w:t>
      </w:r>
    </w:p>
    <w:p>
      <w:pPr>
        <w:pStyle w:val="ListBullet"/>
      </w:pPr>
      <w:r>
        <w:t>[ ] Repeat submission does not create duplicates</w:t>
      </w:r>
    </w:p>
    <w:p>
      <w:pPr>
        <w:pStyle w:val="ListBullet"/>
      </w:pPr>
      <w:r>
        <w:t>[ ] Interrupted operations leave consistent state</w:t>
      </w:r>
    </w:p>
    <w:p>
      <w:pPr>
        <w:pStyle w:val="Heading1"/>
      </w:pPr>
      <w:r>
        <w:t>3. Data</w:t>
      </w:r>
    </w:p>
    <w:p>
      <w:pPr>
        <w:pStyle w:val="ListBullet"/>
      </w:pPr>
      <w:r>
        <w:t>[ ] Calculations verified against an independent source</w:t>
      </w:r>
    </w:p>
    <w:p>
      <w:pPr>
        <w:pStyle w:val="ListBullet"/>
      </w:pPr>
      <w:r>
        <w:t>[ ] Rounding rules correct and consistent</w:t>
      </w:r>
    </w:p>
    <w:p>
      <w:pPr>
        <w:pStyle w:val="ListBullet"/>
      </w:pPr>
      <w:r>
        <w:t>[ ] Dates and time zones correct, including a daylight-saving boundary</w:t>
      </w:r>
    </w:p>
    <w:p>
      <w:pPr>
        <w:pStyle w:val="ListBullet"/>
      </w:pPr>
      <w:r>
        <w:t>[ ] Currency handling correct, including negative values</w:t>
      </w:r>
    </w:p>
    <w:p>
      <w:pPr>
        <w:pStyle w:val="ListBullet"/>
      </w:pPr>
      <w:r>
        <w:t>[ ] Migration verified: counts, totals and spot-checked records</w:t>
      </w:r>
    </w:p>
    <w:p>
      <w:pPr>
        <w:pStyle w:val="ListBullet"/>
      </w:pPr>
      <w:r>
        <w:t>[ ] Empty states handled, zero rows, no history, first-time user</w:t>
      </w:r>
    </w:p>
    <w:p>
      <w:pPr>
        <w:pStyle w:val="Heading1"/>
      </w:pPr>
      <w:r>
        <w:t>4. Integration</w:t>
      </w:r>
    </w:p>
    <w:p>
      <w:pPr>
        <w:pStyle w:val="ListBullet"/>
      </w:pPr>
      <w:r>
        <w:t>[ ] Each interface tested with realistic payloads</w:t>
      </w:r>
    </w:p>
    <w:p>
      <w:pPr>
        <w:pStyle w:val="ListBullet"/>
      </w:pPr>
      <w:r>
        <w:t>[ ] Failure of each dependency handled gracefully</w:t>
      </w:r>
    </w:p>
    <w:p>
      <w:pPr>
        <w:pStyle w:val="ListBullet"/>
      </w:pPr>
      <w:r>
        <w:t>[ ] Timeouts and retries behave sensibly</w:t>
      </w:r>
    </w:p>
    <w:p>
      <w:pPr>
        <w:pStyle w:val="ListBullet"/>
      </w:pPr>
      <w:r>
        <w:t>[ ] No silent failures, everything that fails is visible somewhere</w:t>
      </w:r>
    </w:p>
    <w:p>
      <w:pPr>
        <w:pStyle w:val="Heading1"/>
      </w:pPr>
      <w:r>
        <w:t>5. Performance</w:t>
      </w:r>
    </w:p>
    <w:p>
      <w:pPr>
        <w:pStyle w:val="ListBullet"/>
      </w:pPr>
      <w:r>
        <w:t>[ ] Response times measured under expected concurrent load</w:t>
      </w:r>
    </w:p>
    <w:p>
      <w:pPr>
        <w:pStyle w:val="ListBullet"/>
      </w:pPr>
      <w:r>
        <w:t>[ ] Behaviour at peak volume verified, not extrapolated</w:t>
      </w:r>
    </w:p>
    <w:p>
      <w:pPr>
        <w:pStyle w:val="ListBullet"/>
      </w:pPr>
      <w:r>
        <w:t>[ ] Largest realistic dataset tested</w:t>
      </w:r>
    </w:p>
    <w:p>
      <w:pPr>
        <w:pStyle w:val="ListBullet"/>
      </w:pPr>
      <w:r>
        <w:t>[ ] No obvious query problems (N+1, missing index, full scans)</w:t>
      </w:r>
    </w:p>
    <w:p>
      <w:pPr>
        <w:pStyle w:val="Heading1"/>
      </w:pPr>
      <w:r>
        <w:t>6. Accessibility</w:t>
      </w:r>
    </w:p>
    <w:p>
      <w:pPr>
        <w:ind w:left="454"/>
        <w:shd w:val="clear" w:color="auto" w:fill="FAFAFB"/>
      </w:pPr>
      <w:r>
        <w:rPr>
          <w:i/>
        </w:rPr>
        <w:t xml:space="preserve">Target </w:t>
      </w:r>
      <w:r>
        <w:rPr>
          <w:b/>
        </w:rPr>
        <w:t>WCAG 2.2 Level AA</w:t>
      </w:r>
      <w:r>
        <w:t>. In the EU this is not optional for consumer-facing products and</w:t>
      </w:r>
    </w:p>
    <w:p>
      <w:pPr>
        <w:ind w:left="454"/>
        <w:shd w:val="clear" w:color="auto" w:fill="FAFAFB"/>
      </w:pPr>
      <w:r>
        <w:rPr>
          <w:i/>
        </w:rPr>
        <w:t>services: the European Accessibility Act has been enforceable since 28 June 2025, with</w:t>
      </w:r>
    </w:p>
    <w:p>
      <w:pPr>
        <w:ind w:left="454"/>
        <w:shd w:val="clear" w:color="auto" w:fill="FAFAFB"/>
      </w:pPr>
      <w:r>
        <w:rPr>
          <w:i/>
        </w:rPr>
        <w:t>EN 301 549 as the harmonised standard. The current EN 301 549 v3.2.1 incorporates WCAG 2.1 AA;</w:t>
      </w:r>
    </w:p>
    <w:p>
      <w:pPr>
        <w:ind w:left="454"/>
        <w:shd w:val="clear" w:color="auto" w:fill="FAFAFB"/>
      </w:pPr>
      <w:r>
        <w:rPr>
          <w:i/>
        </w:rPr>
        <w:t>v4.1.1, expected during 2026, moves it to WCAG 2.2 AA. Build to 2.2 now and you are ahead of it.</w:t>
      </w:r>
    </w:p>
    <w:p>
      <w:r>
        <w:rPr>
          <w:b/>
        </w:rPr>
        <w:t>WCAG 2.1 AA, the current legal baseline</w:t>
      </w:r>
    </w:p>
    <w:p>
      <w:pPr>
        <w:pStyle w:val="ListBullet"/>
      </w:pPr>
      <w:r>
        <w:t>[ ] Whole flow completable by keyboard alone, with no traps</w:t>
      </w:r>
    </w:p>
    <w:p>
      <w:pPr>
        <w:pStyle w:val="ListBullet"/>
      </w:pPr>
      <w:r>
        <w:t>[ ] Screen reader announces labels, state, errors and dynamic updates</w:t>
      </w:r>
    </w:p>
    <w:p>
      <w:pPr>
        <w:pStyle w:val="ListBullet"/>
      </w:pPr>
      <w:r>
        <w:t>[ ] Text contrast at least 4.5:1 (3:1 for large text)</w:t>
      </w:r>
    </w:p>
    <w:p>
      <w:pPr>
        <w:pStyle w:val="ListBullet"/>
      </w:pPr>
      <w:r>
        <w:t>[ ] Non-text contrast (controls, focus indicators, meaningful graphics) at least 3:1</w:t>
      </w:r>
    </w:p>
    <w:p>
      <w:pPr>
        <w:pStyle w:val="ListBullet"/>
      </w:pPr>
      <w:r>
        <w:t>[ ] Meaning never conveyed by colour alone</w:t>
      </w:r>
    </w:p>
    <w:p>
      <w:pPr>
        <w:pStyle w:val="ListBullet"/>
      </w:pPr>
      <w:r>
        <w:t>[ ] Focus visible at all times</w:t>
      </w:r>
    </w:p>
    <w:p>
      <w:pPr>
        <w:pStyle w:val="ListBullet"/>
      </w:pPr>
      <w:r>
        <w:t>[ ] Text resizes to 200% without loss of function; reflows at 320px width</w:t>
      </w:r>
    </w:p>
    <w:p>
      <w:pPr>
        <w:pStyle w:val="ListBullet"/>
      </w:pPr>
      <w:r>
        <w:t>[ ] Every form field has a programmatically associated label</w:t>
      </w:r>
    </w:p>
    <w:p>
      <w:pPr>
        <w:pStyle w:val="ListBullet"/>
      </w:pPr>
      <w:r>
        <w:t>[ ] Errors identified in text, with a suggestion for correction</w:t>
      </w:r>
    </w:p>
    <w:p>
      <w:r>
        <w:rPr>
          <w:b/>
        </w:rPr>
        <w:t>WCAG 2.2, the nine additional criteria</w:t>
      </w:r>
    </w:p>
    <w:p>
      <w:pPr>
        <w:pStyle w:val="ListBullet"/>
      </w:pPr>
      <w:r>
        <w:t xml:space="preserve">[ ] </w:t>
      </w:r>
      <w:r>
        <w:rPr>
          <w:b/>
        </w:rPr>
        <w:t>Focus not obscured</w:t>
      </w:r>
      <w:r>
        <w:t xml:space="preserve"> by sticky headers, cookie banners or overlays</w:t>
      </w:r>
    </w:p>
    <w:p>
      <w:pPr>
        <w:pStyle w:val="ListBullet"/>
      </w:pPr>
      <w:r>
        <w:t xml:space="preserve">[ ] </w:t>
      </w:r>
      <w:r>
        <w:rPr>
          <w:b/>
        </w:rPr>
        <w:t>Focus appearance.</w:t>
      </w:r>
      <w:r>
        <w:t xml:space="preserve"> The indicator is large enough and has sufficient contrast</w:t>
      </w:r>
    </w:p>
    <w:p>
      <w:pPr>
        <w:pStyle w:val="ListBullet"/>
      </w:pPr>
      <w:r>
        <w:t xml:space="preserve">[ ] </w:t>
      </w:r>
      <w:r>
        <w:rPr>
          <w:b/>
        </w:rPr>
        <w:t>Dragging movements</w:t>
      </w:r>
      <w:r>
        <w:t xml:space="preserve"> have a single-pointer alternative (no drag-only interactions)</w:t>
      </w:r>
    </w:p>
    <w:p>
      <w:pPr>
        <w:pStyle w:val="ListBullet"/>
      </w:pPr>
      <w:r>
        <w:t xml:space="preserve">[ ] </w:t>
      </w:r>
      <w:r>
        <w:rPr>
          <w:b/>
        </w:rPr>
        <w:t>Target size</w:t>
      </w:r>
      <w:r>
        <w:t xml:space="preserve"> at least 24×24 CSS pixels, or adequately spaced</w:t>
      </w:r>
    </w:p>
    <w:p>
      <w:pPr>
        <w:pStyle w:val="ListBullet"/>
      </w:pPr>
      <w:r>
        <w:t xml:space="preserve">[ ] </w:t>
      </w:r>
      <w:r>
        <w:rPr>
          <w:b/>
        </w:rPr>
        <w:t>Consistent help.</w:t>
      </w:r>
      <w:r>
        <w:t xml:space="preserve"> Support links appear in the same relative order across pages</w:t>
      </w:r>
    </w:p>
    <w:p>
      <w:pPr>
        <w:pStyle w:val="ListBullet"/>
      </w:pPr>
      <w:r>
        <w:t xml:space="preserve">[ ] </w:t>
      </w:r>
      <w:r>
        <w:rPr>
          <w:b/>
        </w:rPr>
        <w:t>Redundant entry.</w:t>
      </w:r>
      <w:r>
        <w:t xml:space="preserve"> Information already provided is not requested again in the same process</w:t>
      </w:r>
    </w:p>
    <w:p>
      <w:pPr>
        <w:pStyle w:val="ListBullet"/>
      </w:pPr>
      <w:r>
        <w:t xml:space="preserve">[ ] </w:t>
      </w:r>
      <w:r>
        <w:rPr>
          <w:b/>
        </w:rPr>
        <w:t>Accessible authentication.</w:t>
      </w:r>
      <w:r>
        <w:t xml:space="preserve"> No cognitive test (puzzle, memorisation, transcription)</w:t>
      </w:r>
    </w:p>
    <w:p>
      <w:r>
        <w:t>required without an alternative; password managers and paste are not blocked</w:t>
      </w:r>
    </w:p>
    <w:p>
      <w:pPr>
        <w:pStyle w:val="Heading1"/>
      </w:pPr>
      <w:r>
        <w:t>7. Compatibility</w:t>
      </w:r>
    </w:p>
    <w:p>
      <w:pPr>
        <w:pStyle w:val="ListBullet"/>
      </w:pPr>
      <w:r>
        <w:t>[ ] Supported browsers verified</w:t>
      </w:r>
    </w:p>
    <w:p>
      <w:pPr>
        <w:pStyle w:val="ListBullet"/>
      </w:pPr>
      <w:r>
        <w:t>[ ] Mobile and tablet layouts verified on real devices</w:t>
      </w:r>
    </w:p>
    <w:p>
      <w:pPr>
        <w:pStyle w:val="ListBullet"/>
      </w:pPr>
      <w:r>
        <w:t>[ ] Print output correct, if used</w:t>
      </w:r>
    </w:p>
    <w:p>
      <w:pPr>
        <w:pStyle w:val="Heading1"/>
      </w:pPr>
      <w:r>
        <w:t>8. Content</w:t>
      </w:r>
    </w:p>
    <w:p>
      <w:pPr>
        <w:pStyle w:val="ListBullet"/>
      </w:pPr>
      <w:r>
        <w:t>[ ] No placeholder or lorem text anywhere</w:t>
      </w:r>
    </w:p>
    <w:p>
      <w:pPr>
        <w:pStyle w:val="ListBullet"/>
      </w:pPr>
      <w:r>
        <w:t>[ ] Error messages tell the user what to do, not just what failed</w:t>
      </w:r>
    </w:p>
    <w:p>
      <w:pPr>
        <w:pStyle w:val="ListBullet"/>
      </w:pPr>
      <w:r>
        <w:t>[ ] Spelling and terminology consistent with the glossary</w:t>
      </w:r>
    </w:p>
    <w:p>
      <w:pPr>
        <w:pStyle w:val="ListBullet"/>
      </w:pPr>
      <w:r>
        <w:t>[ ] Legal and disclaimer text present where required</w:t>
      </w:r>
    </w:p>
    <w:p>
      <w:pPr>
        <w:pStyle w:val="Heading1"/>
      </w:pPr>
      <w:r>
        <w:t>9. Operability</w:t>
      </w:r>
    </w:p>
    <w:p>
      <w:pPr>
        <w:pStyle w:val="ListBullet"/>
      </w:pPr>
      <w:r>
        <w:t>[ ] Logging sufficient to diagnose a failure without reproducing it</w:t>
      </w:r>
    </w:p>
    <w:p>
      <w:pPr>
        <w:pStyle w:val="ListBullet"/>
      </w:pPr>
      <w:r>
        <w:t>[ ] Monitoring or alerting exists for the failure modes that matter</w:t>
      </w:r>
    </w:p>
    <w:p>
      <w:pPr>
        <w:pStyle w:val="ListBullet"/>
      </w:pPr>
      <w:r>
        <w:t>[ ] Runbook or SOP exists for known operational tasks</w:t>
      </w:r>
    </w:p>
    <w:p>
      <w:pPr>
        <w:pStyle w:val="ListBullet"/>
      </w:pPr>
      <w:r>
        <w:t>[ ] Rollback tested</w:t>
      </w:r>
    </w:p>
    <w:p>
      <w:pPr>
        <w:pStyle w:val="Heading1"/>
      </w:pPr>
      <w:r>
        <w:t>10. Defects</w:t>
      </w:r>
    </w:p>
    <w:p>
      <w:pPr>
        <w:pStyle w:val="ListBullet"/>
      </w:pPr>
      <w:r>
        <w:t>[ ] Zero open Critical or High</w:t>
      </w:r>
    </w:p>
    <w:p>
      <w:pPr>
        <w:pStyle w:val="ListBullet"/>
      </w:pPr>
      <w:r>
        <w:t>[ ] Medium defects triaged and explicitly accepted</w:t>
      </w:r>
    </w:p>
    <w:p>
      <w:pPr>
        <w:pStyle w:val="ListBullet"/>
      </w:pPr>
      <w:r>
        <w:t>[ ] Known issues documented for support</w:t>
      </w:r>
    </w:p>
    <w:p>
      <w:pPr>
        <w:pStyle w:val="ListBullet"/>
      </w:pPr>
      <w:r>
        <w:t>[ ] Every fix verified, and regression run after the last fix</w:t>
      </w:r>
    </w:p>
    <w:p>
      <w:r>
        <w:t>---</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QA lead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Product / business owner</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Known issues released with:</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t>
            </w:r>
          </w:p>
        </w:tc>
        <w:tc>
          <w:tcPr>
            <w:tcW w:type="dxa" w:w="1882"/>
            <w:shd w:val="clear" w:color="auto" w:fill="F1EAFE"/>
          </w:tcPr>
          <w:p>
            <w:pPr>
              <w:spacing w:after="40"/>
            </w:pPr>
            <w:r>
              <w:rPr>
                <w:b/>
                <w:sz w:val="18"/>
              </w:rPr>
            </w:r>
            <w:r>
              <w:rPr>
                <w:b/>
                <w:sz w:val="18"/>
              </w:rPr>
              <w:t>Issue</w:t>
            </w:r>
          </w:p>
        </w:tc>
        <w:tc>
          <w:tcPr>
            <w:tcW w:type="dxa" w:w="1882"/>
            <w:shd w:val="clear" w:color="auto" w:fill="F1EAFE"/>
          </w:tcPr>
          <w:p>
            <w:pPr>
              <w:spacing w:after="40"/>
            </w:pPr>
            <w:r>
              <w:rPr>
                <w:b/>
                <w:sz w:val="18"/>
              </w:rPr>
            </w:r>
            <w:r>
              <w:rPr>
                <w:b/>
                <w:sz w:val="18"/>
              </w:rPr>
              <w:t>Severity</w:t>
            </w:r>
          </w:p>
        </w:tc>
        <w:tc>
          <w:tcPr>
            <w:tcW w:type="dxa" w:w="1882"/>
            <w:shd w:val="clear" w:color="auto" w:fill="F1EAFE"/>
          </w:tcPr>
          <w:p>
            <w:pPr>
              <w:spacing w:after="40"/>
            </w:pPr>
            <w:r>
              <w:rPr>
                <w:b/>
                <w:sz w:val="18"/>
              </w:rPr>
            </w:r>
            <w:r>
              <w:rPr>
                <w:b/>
                <w:sz w:val="18"/>
              </w:rPr>
              <w:t>Workaround</w:t>
            </w:r>
          </w:p>
        </w:tc>
        <w:tc>
          <w:tcPr>
            <w:tcW w:type="dxa" w:w="1882"/>
            <w:shd w:val="clear" w:color="auto" w:fill="F1EAFE"/>
          </w:tcPr>
          <w:p>
            <w:pPr>
              <w:spacing w:after="40"/>
            </w:pPr>
            <w:r>
              <w:rPr>
                <w:b/>
                <w:sz w:val="18"/>
              </w:rPr>
            </w:r>
            <w:r>
              <w:rPr>
                <w:b/>
                <w:sz w:val="18"/>
              </w:rPr>
              <w:t>Accepted by</w:t>
            </w:r>
          </w:p>
        </w:tc>
      </w:tr>
    </w:tbl>
    <w:p>
      <w:pPr>
        <w:spacing w:after="40"/>
      </w:pPr>
    </w:p>
    <w:p>
      <w:r>
        <w:t>---</w:t>
      </w:r>
    </w:p>
    <w:p>
      <w:pPr>
        <w:pStyle w:val="Heading1"/>
      </w:pPr>
      <w:r>
        <w:t>Standards this is based on</w:t>
      </w:r>
    </w:p>
    <w:p>
      <w:r>
        <w:t>Checked 2026-08-04. Re-verify before relying on any date below.</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Reference</w:t>
            </w:r>
          </w:p>
        </w:tc>
        <w:tc>
          <w:tcPr>
            <w:tcW w:type="dxa" w:w="4706"/>
            <w:shd w:val="clear" w:color="auto" w:fill="F1EAFE"/>
          </w:tcPr>
          <w:p>
            <w:pPr>
              <w:spacing w:after="40"/>
            </w:pPr>
            <w:r>
              <w:rPr>
                <w:b/>
                <w:sz w:val="18"/>
              </w:rPr>
            </w:r>
            <w:r>
              <w:rPr>
                <w:b/>
                <w:sz w:val="18"/>
              </w:rPr>
              <w:t>Status</w:t>
            </w:r>
          </w:p>
        </w:tc>
      </w:tr>
      <w:tr>
        <w:tc>
          <w:tcPr>
            <w:tcW w:type="dxa" w:w="4706"/>
          </w:tcPr>
          <w:p>
            <w:pPr>
              <w:spacing w:after="40"/>
            </w:pPr>
            <w:r>
              <w:rPr>
                <w:sz w:val="18"/>
              </w:rPr>
            </w:r>
            <w:r>
              <w:rPr>
                <w:sz w:val="18"/>
              </w:rPr>
              <w:t>WCAG 2.2 Level AA</w:t>
            </w:r>
          </w:p>
        </w:tc>
        <w:tc>
          <w:tcPr>
            <w:tcW w:type="dxa" w:w="4706"/>
          </w:tcPr>
          <w:p>
            <w:pPr>
              <w:spacing w:after="40"/>
            </w:pPr>
            <w:r>
              <w:rPr>
                <w:sz w:val="18"/>
              </w:rPr>
            </w:r>
            <w:r>
              <w:rPr>
                <w:sz w:val="18"/>
              </w:rPr>
              <w:t>Current W3C Recommendation, the target to build to</w:t>
            </w:r>
          </w:p>
        </w:tc>
      </w:tr>
      <w:tr>
        <w:tc>
          <w:tcPr>
            <w:tcW w:type="dxa" w:w="4706"/>
          </w:tcPr>
          <w:p>
            <w:pPr>
              <w:spacing w:after="40"/>
            </w:pPr>
            <w:r>
              <w:rPr>
                <w:sz w:val="18"/>
              </w:rPr>
            </w:r>
            <w:r>
              <w:rPr>
                <w:sz w:val="18"/>
              </w:rPr>
              <w:t>EN 301 549 v3.2.1</w:t>
            </w:r>
          </w:p>
        </w:tc>
        <w:tc>
          <w:tcPr>
            <w:tcW w:type="dxa" w:w="4706"/>
          </w:tcPr>
          <w:p>
            <w:pPr>
              <w:spacing w:after="40"/>
            </w:pPr>
            <w:r>
              <w:rPr>
                <w:sz w:val="18"/>
              </w:rPr>
            </w:r>
            <w:r>
              <w:rPr>
                <w:sz w:val="18"/>
              </w:rPr>
              <w:t>Current harmonised EU standard; incorporates WCAG 2.1 AA</w:t>
            </w:r>
          </w:p>
        </w:tc>
      </w:tr>
      <w:tr>
        <w:tc>
          <w:tcPr>
            <w:tcW w:type="dxa" w:w="4706"/>
          </w:tcPr>
          <w:p>
            <w:pPr>
              <w:spacing w:after="40"/>
            </w:pPr>
            <w:r>
              <w:rPr>
                <w:sz w:val="18"/>
              </w:rPr>
            </w:r>
            <w:r>
              <w:rPr>
                <w:sz w:val="18"/>
              </w:rPr>
              <w:t>EN 301 549 v4.1.1</w:t>
            </w:r>
          </w:p>
        </w:tc>
        <w:tc>
          <w:tcPr>
            <w:tcW w:type="dxa" w:w="4706"/>
          </w:tcPr>
          <w:p>
            <w:pPr>
              <w:spacing w:after="40"/>
            </w:pPr>
            <w:r>
              <w:rPr>
                <w:sz w:val="18"/>
              </w:rPr>
            </w:r>
            <w:r>
              <w:rPr>
                <w:sz w:val="18"/>
              </w:rPr>
              <w:t>Expected during 2026; moves the baseline to WCAG 2.2 AA</w:t>
            </w:r>
          </w:p>
        </w:tc>
      </w:tr>
      <w:tr>
        <w:tc>
          <w:tcPr>
            <w:tcW w:type="dxa" w:w="4706"/>
          </w:tcPr>
          <w:p>
            <w:pPr>
              <w:spacing w:after="40"/>
            </w:pPr>
            <w:r>
              <w:rPr>
                <w:sz w:val="18"/>
              </w:rPr>
            </w:r>
            <w:r>
              <w:rPr>
                <w:sz w:val="18"/>
              </w:rPr>
              <w:t>European Accessibility Act</w:t>
            </w:r>
          </w:p>
        </w:tc>
        <w:tc>
          <w:tcPr>
            <w:tcW w:type="dxa" w:w="4706"/>
          </w:tcPr>
          <w:p>
            <w:pPr>
              <w:spacing w:after="40"/>
            </w:pPr>
            <w:r>
              <w:rPr>
                <w:sz w:val="18"/>
              </w:rPr>
            </w:r>
            <w:r>
              <w:rPr>
                <w:sz w:val="18"/>
              </w:rPr>
              <w:t>Enforceable since 28 June 2025</w:t>
            </w:r>
          </w:p>
        </w:tc>
      </w:tr>
      <w:tr>
        <w:tc>
          <w:tcPr>
            <w:tcW w:type="dxa" w:w="4706"/>
          </w:tcPr>
          <w:p>
            <w:pPr>
              <w:spacing w:after="40"/>
            </w:pPr>
            <w:r>
              <w:rPr>
                <w:sz w:val="18"/>
              </w:rPr>
            </w:r>
            <w:r>
              <w:rPr>
                <w:sz w:val="18"/>
              </w:rPr>
              <w:t>ISO/IEC 25010</w:t>
            </w:r>
          </w:p>
        </w:tc>
        <w:tc>
          <w:tcPr>
            <w:tcW w:type="dxa" w:w="4706"/>
          </w:tcPr>
          <w:p>
            <w:pPr>
              <w:spacing w:after="40"/>
            </w:pPr>
            <w:r>
              <w:rPr>
                <w:sz w:val="18"/>
              </w:rPr>
            </w:r>
            <w:r>
              <w:rPr>
                <w:sz w:val="18"/>
              </w:rPr>
              <w:t>Product quality model, the source of the non-functional categories above</w:t>
            </w:r>
          </w:p>
        </w:tc>
      </w:tr>
      <w:tr>
        <w:tc>
          <w:tcPr>
            <w:tcW w:type="dxa" w:w="4706"/>
          </w:tcPr>
          <w:p>
            <w:pPr>
              <w:spacing w:after="40"/>
            </w:pPr>
            <w:r>
              <w:rPr>
                <w:sz w:val="18"/>
              </w:rPr>
            </w:r>
            <w:r>
              <w:rPr>
                <w:sz w:val="18"/>
              </w:rPr>
              <w:t>ISO/IEC/IEEE 29119</w:t>
            </w:r>
          </w:p>
        </w:tc>
        <w:tc>
          <w:tcPr>
            <w:tcW w:type="dxa" w:w="4706"/>
          </w:tcPr>
          <w:p>
            <w:pPr>
              <w:spacing w:after="40"/>
            </w:pPr>
            <w:r>
              <w:rPr>
                <w:sz w:val="18"/>
              </w:rPr>
            </w:r>
            <w:r>
              <w:rPr>
                <w:sz w:val="18"/>
              </w:rPr>
              <w:t>Software testing, process and documentation</w:t>
            </w:r>
          </w:p>
        </w:tc>
      </w:tr>
    </w:tbl>
    <w:p>
      <w:pPr>
        <w:spacing w:after="40"/>
      </w:pPr>
    </w:p>
    <w:p>
      <w:r>
        <w:t>Accessibility conformance requires human testing with assistive technology. Automated checks typically detect only a minority of real barriers, passing them is a floor, not evidence.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QA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 Checklist</dc:title>
  <dc:subject/>
  <dc:creator>BvLogic</dc:creator>
  <cp:keywords>BvLogic, Checklist, enterprise AI, QA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