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Prompt Evaluation Report: Invoice Extraction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BVL-7AB014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 xml:space="preserve">A worked example. Figures are illustrative, but the </w:t>
      </w:r>
      <w:r>
        <w:rPr>
          <w:b/>
        </w:rPr>
        <w:t>structure</w:t>
      </w:r>
      <w:r>
        <w:t xml:space="preserve"> is the point: anyone reading</w:t>
      </w:r>
    </w:p>
    <w:p>
      <w:pPr>
        <w:ind w:left="454"/>
        <w:shd w:val="clear" w:color="auto" w:fill="FAFAFB"/>
      </w:pPr>
      <w:r>
        <w:rPr>
          <w:i/>
        </w:rPr>
        <w:t>this can tell what was measured, under what conditions, and what was decided.</w:t>
      </w:r>
    </w:p>
    <w:p>
      <w:pPr>
        <w:pStyle w:val="Heading1"/>
      </w:pPr>
      <w:r>
        <w:t>Summary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w:t>
            </w:r>
          </w:p>
        </w:tc>
        <w:tc>
          <w:tcPr>
            <w:tcW w:type="dxa" w:w="4706"/>
            <w:shd w:val="clear" w:color="auto" w:fill="F1EAFE"/>
          </w:tcPr>
          <w:p>
            <w:pPr>
              <w:spacing w:after="40"/>
            </w:pPr>
            <w:r>
              <w:rPr>
                <w:b/>
                <w:sz w:val="18"/>
              </w:rPr>
            </w:r>
            <w:r>
              <w:rPr>
                <w:b/>
                <w:sz w:val="18"/>
              </w:rPr>
              <w:t>Invoice extraction (accounts payable)</w:t>
            </w:r>
          </w:p>
        </w:tc>
      </w:tr>
      <w:tr>
        <w:tc>
          <w:tcPr>
            <w:tcW w:type="dxa" w:w="4706"/>
          </w:tcPr>
          <w:p>
            <w:pPr>
              <w:spacing w:after="40"/>
            </w:pPr>
            <w:r>
              <w:rPr>
                <w:sz w:val="18"/>
              </w:rPr>
            </w:r>
            <w:r>
              <w:rPr>
                <w:b/>
                <w:sz w:val="18"/>
              </w:rPr>
              <w:t>Change</w:t>
            </w:r>
          </w:p>
        </w:tc>
        <w:tc>
          <w:tcPr>
            <w:tcW w:type="dxa" w:w="4706"/>
          </w:tcPr>
          <w:p>
            <w:pPr>
              <w:spacing w:after="40"/>
            </w:pPr>
            <w:r>
              <w:rPr>
                <w:sz w:val="18"/>
              </w:rPr>
            </w:r>
            <w:r>
              <w:rPr>
                <w:sz w:val="18"/>
              </w:rPr>
              <w:t>Prompt v3 → v4: added explicit line-item reconciliation instruction</w:t>
            </w:r>
          </w:p>
        </w:tc>
      </w:tr>
      <w:tr>
        <w:tc>
          <w:tcPr>
            <w:tcW w:type="dxa" w:w="4706"/>
          </w:tcPr>
          <w:p>
            <w:pPr>
              <w:spacing w:after="40"/>
            </w:pPr>
            <w:r>
              <w:rPr>
                <w:sz w:val="18"/>
              </w:rPr>
            </w:r>
            <w:r>
              <w:rPr>
                <w:b/>
                <w:sz w:val="18"/>
              </w:rPr>
              <w:t>Date</w:t>
            </w:r>
          </w:p>
        </w:tc>
        <w:tc>
          <w:tcPr>
            <w:tcW w:type="dxa" w:w="4706"/>
          </w:tcPr>
          <w:p>
            <w:pPr>
              <w:spacing w:after="40"/>
            </w:pPr>
            <w:r>
              <w:rPr>
                <w:sz w:val="18"/>
              </w:rPr>
            </w:r>
            <w:r>
              <w:rPr>
                <w:sz w:val="18"/>
              </w:rPr>
              <w:t>2026-08-04</w:t>
            </w:r>
          </w:p>
        </w:tc>
      </w:tr>
      <w:tr>
        <w:tc>
          <w:tcPr>
            <w:tcW w:type="dxa" w:w="4706"/>
          </w:tcPr>
          <w:p>
            <w:pPr>
              <w:spacing w:after="40"/>
            </w:pPr>
            <w:r>
              <w:rPr>
                <w:sz w:val="18"/>
              </w:rPr>
            </w:r>
            <w:r>
              <w:rPr>
                <w:b/>
                <w:sz w:val="18"/>
              </w:rPr>
              <w:t>Decision</w:t>
            </w:r>
          </w:p>
        </w:tc>
        <w:tc>
          <w:tcPr>
            <w:tcW w:type="dxa" w:w="4706"/>
          </w:tcPr>
          <w:p>
            <w:pPr>
              <w:spacing w:after="40"/>
            </w:pPr>
            <w:r>
              <w:rPr>
                <w:sz w:val="18"/>
              </w:rPr>
            </w:r>
            <w:r>
              <w:rPr>
                <w:b/>
                <w:sz w:val="18"/>
              </w:rPr>
              <w:t>SHIP</w:t>
            </w:r>
            <w:r>
              <w:rPr>
                <w:sz w:val="18"/>
              </w:rPr>
              <w:t>, with two new regression cases added</w:t>
            </w:r>
          </w:p>
        </w:tc>
      </w:tr>
    </w:tbl>
    <w:p>
      <w:pPr>
        <w:spacing w:after="40"/>
      </w:pPr>
    </w:p>
    <w:p>
      <w:r>
        <w:rPr>
          <w:b/>
        </w:rPr>
        <w:t>Headline:</w:t>
      </w:r>
      <w:r>
        <w:t xml:space="preserve"> arithmetic accuracy 71% → 98%. Two unrelated cases regressed and are documented below. Token count rose 12%; cost per completed task fell, because retries dropped.</w:t>
      </w:r>
    </w:p>
    <w:p>
      <w:pPr>
        <w:pStyle w:val="Heading1"/>
      </w:pPr>
      <w:r>
        <w:t>Conditions</w:t>
      </w:r>
    </w:p>
    <w:p>
      <w:r>
        <w:t>Anything not pinned here makes the comparison invalid.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v3 (baseline)</w:t>
            </w:r>
          </w:p>
        </w:tc>
        <w:tc>
          <w:tcPr>
            <w:tcW w:type="dxa" w:w="3137"/>
            <w:shd w:val="clear" w:color="auto" w:fill="F1EAFE"/>
          </w:tcPr>
          <w:p>
            <w:pPr>
              <w:spacing w:after="40"/>
            </w:pPr>
            <w:r>
              <w:rPr>
                <w:b/>
                <w:sz w:val="18"/>
              </w:rPr>
            </w:r>
            <w:r>
              <w:rPr>
                <w:b/>
                <w:sz w:val="18"/>
              </w:rPr>
              <w:t>v4</w:t>
            </w:r>
          </w:p>
        </w:tc>
      </w:tr>
      <w:tr>
        <w:tc>
          <w:tcPr>
            <w:tcW w:type="dxa" w:w="3137"/>
          </w:tcPr>
          <w:p>
            <w:pPr>
              <w:spacing w:after="40"/>
            </w:pPr>
            <w:r>
              <w:rPr>
                <w:sz w:val="18"/>
              </w:rPr>
            </w:r>
            <w:r>
              <w:rPr>
                <w:sz w:val="18"/>
              </w:rPr>
              <w:t>Model</w:t>
            </w:r>
          </w:p>
        </w:tc>
        <w:tc>
          <w:tcPr>
            <w:tcW w:type="dxa" w:w="3137"/>
          </w:tcPr>
          <w:p>
            <w:pPr>
              <w:spacing w:after="40"/>
            </w:pPr>
            <w:r>
              <w:rPr>
                <w:sz w:val="18"/>
              </w:rPr>
            </w:r>
            <w:r>
              <w:rPr>
                <w:rFonts w:ascii="Consolas" w:hAnsi="Consolas"/>
                <w:sz w:val="18"/>
              </w:rPr>
              <w:t>&lt;version string&gt;</w:t>
            </w:r>
          </w:p>
        </w:tc>
        <w:tc>
          <w:tcPr>
            <w:tcW w:type="dxa" w:w="3137"/>
          </w:tcPr>
          <w:p>
            <w:pPr>
              <w:spacing w:after="40"/>
            </w:pPr>
            <w:r>
              <w:rPr>
                <w:sz w:val="18"/>
              </w:rPr>
            </w:r>
            <w:r>
              <w:rPr>
                <w:sz w:val="18"/>
              </w:rPr>
              <w:t>same</w:t>
            </w:r>
          </w:p>
        </w:tc>
      </w:tr>
      <w:tr>
        <w:tc>
          <w:tcPr>
            <w:tcW w:type="dxa" w:w="3137"/>
          </w:tcPr>
          <w:p>
            <w:pPr>
              <w:spacing w:after="40"/>
            </w:pPr>
            <w:r>
              <w:rPr>
                <w:sz w:val="18"/>
              </w:rPr>
            </w:r>
            <w:r>
              <w:rPr>
                <w:sz w:val="18"/>
              </w:rPr>
              <w:t>Temperature</w:t>
            </w:r>
          </w:p>
        </w:tc>
        <w:tc>
          <w:tcPr>
            <w:tcW w:type="dxa" w:w="3137"/>
          </w:tcPr>
          <w:p>
            <w:pPr>
              <w:spacing w:after="40"/>
            </w:pPr>
            <w:r>
              <w:rPr>
                <w:sz w:val="18"/>
              </w:rPr>
            </w:r>
            <w:r>
              <w:rPr>
                <w:sz w:val="18"/>
              </w:rPr>
              <w:t>0.2</w:t>
            </w:r>
          </w:p>
        </w:tc>
        <w:tc>
          <w:tcPr>
            <w:tcW w:type="dxa" w:w="3137"/>
          </w:tcPr>
          <w:p>
            <w:pPr>
              <w:spacing w:after="40"/>
            </w:pPr>
            <w:r>
              <w:rPr>
                <w:sz w:val="18"/>
              </w:rPr>
            </w:r>
            <w:r>
              <w:rPr>
                <w:sz w:val="18"/>
              </w:rPr>
              <w:t>same</w:t>
            </w:r>
          </w:p>
        </w:tc>
      </w:tr>
      <w:tr>
        <w:tc>
          <w:tcPr>
            <w:tcW w:type="dxa" w:w="3137"/>
          </w:tcPr>
          <w:p>
            <w:pPr>
              <w:spacing w:after="40"/>
            </w:pPr>
            <w:r>
              <w:rPr>
                <w:sz w:val="18"/>
              </w:rPr>
            </w:r>
            <w:r>
              <w:rPr>
                <w:sz w:val="18"/>
              </w:rPr>
              <w:t>Prompt version</w:t>
            </w:r>
          </w:p>
        </w:tc>
        <w:tc>
          <w:tcPr>
            <w:tcW w:type="dxa" w:w="3137"/>
          </w:tcPr>
          <w:p>
            <w:pPr>
              <w:spacing w:after="40"/>
            </w:pPr>
            <w:r>
              <w:rPr>
                <w:sz w:val="18"/>
              </w:rPr>
            </w:r>
            <w:r>
              <w:rPr>
                <w:sz w:val="18"/>
              </w:rPr>
              <w:t xml:space="preserve">v3 (commit </w:t>
            </w:r>
            <w:r>
              <w:rPr>
                <w:rFonts w:ascii="Consolas" w:hAnsi="Consolas"/>
                <w:sz w:val="18"/>
              </w:rPr>
              <w:t>a1b2c3</w:t>
            </w:r>
            <w:r>
              <w:rPr>
                <w:sz w:val="18"/>
              </w:rPr>
              <w:t>)</w:t>
            </w:r>
          </w:p>
        </w:tc>
        <w:tc>
          <w:tcPr>
            <w:tcW w:type="dxa" w:w="3137"/>
          </w:tcPr>
          <w:p>
            <w:pPr>
              <w:spacing w:after="40"/>
            </w:pPr>
            <w:r>
              <w:rPr>
                <w:sz w:val="18"/>
              </w:rPr>
            </w:r>
            <w:r>
              <w:rPr>
                <w:sz w:val="18"/>
              </w:rPr>
              <w:t xml:space="preserve">v4 (commit </w:t>
            </w:r>
            <w:r>
              <w:rPr>
                <w:rFonts w:ascii="Consolas" w:hAnsi="Consolas"/>
                <w:sz w:val="18"/>
              </w:rPr>
              <w:t>d4e5f6</w:t>
            </w:r>
            <w:r>
              <w:rPr>
                <w:sz w:val="18"/>
              </w:rPr>
              <w:t>)</w:t>
            </w:r>
          </w:p>
        </w:tc>
      </w:tr>
      <w:tr>
        <w:tc>
          <w:tcPr>
            <w:tcW w:type="dxa" w:w="3137"/>
          </w:tcPr>
          <w:p>
            <w:pPr>
              <w:spacing w:after="40"/>
            </w:pPr>
            <w:r>
              <w:rPr>
                <w:sz w:val="18"/>
              </w:rPr>
            </w:r>
            <w:r>
              <w:rPr>
                <w:sz w:val="18"/>
              </w:rPr>
              <w:t>Case set</w:t>
            </w:r>
          </w:p>
        </w:tc>
        <w:tc>
          <w:tcPr>
            <w:tcW w:type="dxa" w:w="3137"/>
          </w:tcPr>
          <w:p>
            <w:pPr>
              <w:spacing w:after="40"/>
            </w:pPr>
            <w:r>
              <w:rPr>
                <w:sz w:val="18"/>
              </w:rPr>
            </w:r>
            <w:r>
              <w:rPr>
                <w:sz w:val="18"/>
              </w:rPr>
              <w:t>invoice-eval v7 (40 cases)</w:t>
            </w:r>
          </w:p>
        </w:tc>
        <w:tc>
          <w:tcPr>
            <w:tcW w:type="dxa" w:w="3137"/>
          </w:tcPr>
          <w:p>
            <w:pPr>
              <w:spacing w:after="40"/>
            </w:pPr>
            <w:r>
              <w:rPr>
                <w:sz w:val="18"/>
              </w:rPr>
            </w:r>
            <w:r>
              <w:rPr>
                <w:sz w:val="18"/>
              </w:rPr>
              <w:t>same</w:t>
            </w:r>
          </w:p>
        </w:tc>
      </w:tr>
      <w:tr>
        <w:tc>
          <w:tcPr>
            <w:tcW w:type="dxa" w:w="3137"/>
          </w:tcPr>
          <w:p>
            <w:pPr>
              <w:spacing w:after="40"/>
            </w:pPr>
            <w:r>
              <w:rPr>
                <w:sz w:val="18"/>
              </w:rPr>
            </w:r>
            <w:r>
              <w:rPr>
                <w:sz w:val="18"/>
              </w:rPr>
              <w:t>Runs per case</w:t>
            </w:r>
          </w:p>
        </w:tc>
        <w:tc>
          <w:tcPr>
            <w:tcW w:type="dxa" w:w="3137"/>
          </w:tcPr>
          <w:p>
            <w:pPr>
              <w:spacing w:after="40"/>
            </w:pPr>
            <w:r>
              <w:rPr>
                <w:sz w:val="18"/>
              </w:rPr>
            </w:r>
            <w:r>
              <w:rPr>
                <w:sz w:val="18"/>
              </w:rPr>
              <w:t>5</w:t>
            </w:r>
          </w:p>
        </w:tc>
        <w:tc>
          <w:tcPr>
            <w:tcW w:type="dxa" w:w="3137"/>
          </w:tcPr>
          <w:p>
            <w:pPr>
              <w:spacing w:after="40"/>
            </w:pPr>
            <w:r>
              <w:rPr>
                <w:sz w:val="18"/>
              </w:rPr>
            </w:r>
            <w:r>
              <w:rPr>
                <w:sz w:val="18"/>
              </w:rPr>
              <w:t>5</w:t>
            </w:r>
          </w:p>
        </w:tc>
      </w:tr>
      <w:tr>
        <w:tc>
          <w:tcPr>
            <w:tcW w:type="dxa" w:w="3137"/>
          </w:tcPr>
          <w:p>
            <w:pPr>
              <w:spacing w:after="40"/>
            </w:pPr>
            <w:r>
              <w:rPr>
                <w:sz w:val="18"/>
              </w:rPr>
            </w:r>
            <w:r>
              <w:rPr>
                <w:sz w:val="18"/>
              </w:rPr>
              <w:t>Scorer</w:t>
            </w:r>
          </w:p>
        </w:tc>
        <w:tc>
          <w:tcPr>
            <w:tcW w:type="dxa" w:w="3137"/>
          </w:tcPr>
          <w:p>
            <w:pPr>
              <w:spacing w:after="40"/>
            </w:pPr>
            <w:r>
              <w:rPr>
                <w:sz w:val="18"/>
              </w:rPr>
            </w:r>
            <w:r>
              <w:rPr>
                <w:sz w:val="18"/>
              </w:rPr>
              <w:t>deterministic + rubric v2</w:t>
            </w:r>
          </w:p>
        </w:tc>
        <w:tc>
          <w:tcPr>
            <w:tcW w:type="dxa" w:w="3137"/>
          </w:tcPr>
          <w:p>
            <w:pPr>
              <w:spacing w:after="40"/>
            </w:pPr>
            <w:r>
              <w:rPr>
                <w:sz w:val="18"/>
              </w:rPr>
            </w:r>
            <w:r>
              <w:rPr>
                <w:sz w:val="18"/>
              </w:rPr>
              <w:t>same</w:t>
            </w:r>
          </w:p>
        </w:tc>
      </w:tr>
    </w:tbl>
    <w:p>
      <w:pPr>
        <w:spacing w:after="40"/>
      </w:pPr>
    </w:p>
    <w:p>
      <w:pPr>
        <w:pStyle w:val="Heading1"/>
      </w:pPr>
      <w:r>
        <w:t>Results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Check</w:t>
            </w:r>
          </w:p>
        </w:tc>
        <w:tc>
          <w:tcPr>
            <w:tcW w:type="dxa" w:w="1882"/>
            <w:shd w:val="clear" w:color="auto" w:fill="F1EAFE"/>
          </w:tcPr>
          <w:p>
            <w:pPr>
              <w:spacing w:after="40"/>
            </w:pPr>
            <w:r>
              <w:rPr>
                <w:b/>
                <w:sz w:val="18"/>
              </w:rPr>
            </w:r>
            <w:r>
              <w:rPr>
                <w:b/>
                <w:sz w:val="18"/>
              </w:rPr>
              <w:t>Type</w:t>
            </w:r>
          </w:p>
        </w:tc>
        <w:tc>
          <w:tcPr>
            <w:tcW w:type="dxa" w:w="1882"/>
            <w:shd w:val="clear" w:color="auto" w:fill="F1EAFE"/>
          </w:tcPr>
          <w:p>
            <w:pPr>
              <w:spacing w:after="40"/>
            </w:pPr>
            <w:r>
              <w:rPr>
                <w:b/>
                <w:sz w:val="18"/>
              </w:rPr>
            </w:r>
            <w:r>
              <w:rPr>
                <w:b/>
                <w:sz w:val="18"/>
              </w:rPr>
              <w:t>v3</w:t>
            </w:r>
          </w:p>
        </w:tc>
        <w:tc>
          <w:tcPr>
            <w:tcW w:type="dxa" w:w="1882"/>
            <w:shd w:val="clear" w:color="auto" w:fill="F1EAFE"/>
          </w:tcPr>
          <w:p>
            <w:pPr>
              <w:spacing w:after="40"/>
            </w:pPr>
            <w:r>
              <w:rPr>
                <w:b/>
                <w:sz w:val="18"/>
              </w:rPr>
            </w:r>
            <w:r>
              <w:rPr>
                <w:b/>
                <w:sz w:val="18"/>
              </w:rPr>
              <w:t>v4</w:t>
            </w:r>
          </w:p>
        </w:tc>
        <w:tc>
          <w:tcPr>
            <w:tcW w:type="dxa" w:w="1882"/>
            <w:shd w:val="clear" w:color="auto" w:fill="F1EAFE"/>
          </w:tcPr>
          <w:p>
            <w:pPr>
              <w:spacing w:after="40"/>
            </w:pPr>
            <w:r>
              <w:rPr>
                <w:b/>
                <w:sz w:val="18"/>
              </w:rPr>
            </w:r>
            <w:r>
              <w:rPr>
                <w:b/>
                <w:sz w:val="18"/>
              </w:rPr>
              <w:t>Δ</w:t>
            </w:r>
          </w:p>
        </w:tc>
      </w:tr>
      <w:tr>
        <w:tc>
          <w:tcPr>
            <w:tcW w:type="dxa" w:w="1882"/>
          </w:tcPr>
          <w:p>
            <w:pPr>
              <w:spacing w:after="40"/>
            </w:pPr>
            <w:r>
              <w:rPr>
                <w:sz w:val="18"/>
              </w:rPr>
            </w:r>
            <w:r>
              <w:rPr>
                <w:sz w:val="18"/>
              </w:rPr>
              <w:t>Output parses as JSON</w:t>
            </w:r>
          </w:p>
        </w:tc>
        <w:tc>
          <w:tcPr>
            <w:tcW w:type="dxa" w:w="1882"/>
          </w:tcPr>
          <w:p>
            <w:pPr>
              <w:spacing w:after="40"/>
            </w:pPr>
            <w:r>
              <w:rPr>
                <w:sz w:val="18"/>
              </w:rPr>
            </w:r>
            <w:r>
              <w:rPr>
                <w:sz w:val="18"/>
              </w:rPr>
              <w:t>deterministic</w:t>
            </w:r>
          </w:p>
        </w:tc>
        <w:tc>
          <w:tcPr>
            <w:tcW w:type="dxa" w:w="1882"/>
          </w:tcPr>
          <w:p>
            <w:pPr>
              <w:spacing w:after="40"/>
            </w:pPr>
            <w:r>
              <w:rPr>
                <w:sz w:val="18"/>
              </w:rPr>
            </w:r>
            <w:r>
              <w:rPr>
                <w:sz w:val="18"/>
              </w:rPr>
              <w:t>100%</w:t>
            </w:r>
          </w:p>
        </w:tc>
        <w:tc>
          <w:tcPr>
            <w:tcW w:type="dxa" w:w="1882"/>
          </w:tcPr>
          <w:p>
            <w:pPr>
              <w:spacing w:after="40"/>
            </w:pPr>
            <w:r>
              <w:rPr>
                <w:sz w:val="18"/>
              </w:rPr>
            </w:r>
            <w:r>
              <w:rPr>
                <w:sz w:val="18"/>
              </w:rPr>
              <w:t>100%</w:t>
            </w:r>
          </w:p>
        </w:tc>
        <w:tc>
          <w:tcPr>
            <w:tcW w:type="dxa" w:w="1882"/>
          </w:tcPr>
          <w:p>
            <w:pPr>
              <w:spacing w:after="40"/>
            </w:pPr>
            <w:r>
              <w:rPr>
                <w:sz w:val="18"/>
              </w:rPr>
            </w:r>
          </w:p>
        </w:tc>
      </w:tr>
      <w:tr>
        <w:tc>
          <w:tcPr>
            <w:tcW w:type="dxa" w:w="1882"/>
          </w:tcPr>
          <w:p>
            <w:pPr>
              <w:spacing w:after="40"/>
            </w:pPr>
            <w:r>
              <w:rPr>
                <w:sz w:val="18"/>
              </w:rPr>
            </w:r>
            <w:r>
              <w:rPr>
                <w:sz w:val="18"/>
              </w:rPr>
              <w:t>Required fields present</w:t>
            </w:r>
          </w:p>
        </w:tc>
        <w:tc>
          <w:tcPr>
            <w:tcW w:type="dxa" w:w="1882"/>
          </w:tcPr>
          <w:p>
            <w:pPr>
              <w:spacing w:after="40"/>
            </w:pPr>
            <w:r>
              <w:rPr>
                <w:sz w:val="18"/>
              </w:rPr>
            </w:r>
            <w:r>
              <w:rPr>
                <w:sz w:val="18"/>
              </w:rPr>
              <w:t>deterministic</w:t>
            </w:r>
          </w:p>
        </w:tc>
        <w:tc>
          <w:tcPr>
            <w:tcW w:type="dxa" w:w="1882"/>
          </w:tcPr>
          <w:p>
            <w:pPr>
              <w:spacing w:after="40"/>
            </w:pPr>
            <w:r>
              <w:rPr>
                <w:sz w:val="18"/>
              </w:rPr>
            </w:r>
            <w:r>
              <w:rPr>
                <w:sz w:val="18"/>
              </w:rPr>
              <w:t>100%</w:t>
            </w:r>
          </w:p>
        </w:tc>
        <w:tc>
          <w:tcPr>
            <w:tcW w:type="dxa" w:w="1882"/>
          </w:tcPr>
          <w:p>
            <w:pPr>
              <w:spacing w:after="40"/>
            </w:pPr>
            <w:r>
              <w:rPr>
                <w:sz w:val="18"/>
              </w:rPr>
            </w:r>
            <w:r>
              <w:rPr>
                <w:sz w:val="18"/>
              </w:rPr>
              <w:t>100%</w:t>
            </w:r>
          </w:p>
        </w:tc>
        <w:tc>
          <w:tcPr>
            <w:tcW w:type="dxa" w:w="1882"/>
          </w:tcPr>
          <w:p>
            <w:pPr>
              <w:spacing w:after="40"/>
            </w:pPr>
            <w:r>
              <w:rPr>
                <w:sz w:val="18"/>
              </w:rPr>
            </w:r>
          </w:p>
        </w:tc>
      </w:tr>
      <w:tr>
        <w:tc>
          <w:tcPr>
            <w:tcW w:type="dxa" w:w="1882"/>
          </w:tcPr>
          <w:p>
            <w:pPr>
              <w:spacing w:after="40"/>
            </w:pPr>
            <w:r>
              <w:rPr>
                <w:sz w:val="18"/>
              </w:rPr>
            </w:r>
            <w:r>
              <w:rPr>
                <w:b/>
                <w:sz w:val="18"/>
              </w:rPr>
              <w:t>Line items sum to stated total</w:t>
            </w:r>
          </w:p>
        </w:tc>
        <w:tc>
          <w:tcPr>
            <w:tcW w:type="dxa" w:w="1882"/>
          </w:tcPr>
          <w:p>
            <w:pPr>
              <w:spacing w:after="40"/>
            </w:pPr>
            <w:r>
              <w:rPr>
                <w:sz w:val="18"/>
              </w:rPr>
            </w:r>
            <w:r>
              <w:rPr>
                <w:sz w:val="18"/>
              </w:rPr>
              <w:t>deterministic</w:t>
            </w:r>
          </w:p>
        </w:tc>
        <w:tc>
          <w:tcPr>
            <w:tcW w:type="dxa" w:w="1882"/>
          </w:tcPr>
          <w:p>
            <w:pPr>
              <w:spacing w:after="40"/>
            </w:pPr>
            <w:r>
              <w:rPr>
                <w:sz w:val="18"/>
              </w:rPr>
            </w:r>
            <w:r>
              <w:rPr>
                <w:b/>
                <w:sz w:val="18"/>
              </w:rPr>
              <w:t>71%</w:t>
            </w:r>
          </w:p>
        </w:tc>
        <w:tc>
          <w:tcPr>
            <w:tcW w:type="dxa" w:w="1882"/>
          </w:tcPr>
          <w:p>
            <w:pPr>
              <w:spacing w:after="40"/>
            </w:pPr>
            <w:r>
              <w:rPr>
                <w:sz w:val="18"/>
              </w:rPr>
            </w:r>
            <w:r>
              <w:rPr>
                <w:b/>
                <w:sz w:val="18"/>
              </w:rPr>
              <w:t>98%</w:t>
            </w:r>
          </w:p>
        </w:tc>
        <w:tc>
          <w:tcPr>
            <w:tcW w:type="dxa" w:w="1882"/>
          </w:tcPr>
          <w:p>
            <w:pPr>
              <w:spacing w:after="40"/>
            </w:pPr>
            <w:r>
              <w:rPr>
                <w:sz w:val="18"/>
              </w:rPr>
            </w:r>
            <w:r>
              <w:rPr>
                <w:b/>
                <w:sz w:val="18"/>
              </w:rPr>
              <w:t>+27</w:t>
            </w:r>
          </w:p>
        </w:tc>
      </w:tr>
      <w:tr>
        <w:tc>
          <w:tcPr>
            <w:tcW w:type="dxa" w:w="1882"/>
          </w:tcPr>
          <w:p>
            <w:pPr>
              <w:spacing w:after="40"/>
            </w:pPr>
            <w:r>
              <w:rPr>
                <w:sz w:val="18"/>
              </w:rPr>
            </w:r>
            <w:r>
              <w:rPr>
                <w:sz w:val="18"/>
              </w:rPr>
              <w:t>Currency matches document</w:t>
            </w:r>
          </w:p>
        </w:tc>
        <w:tc>
          <w:tcPr>
            <w:tcW w:type="dxa" w:w="1882"/>
          </w:tcPr>
          <w:p>
            <w:pPr>
              <w:spacing w:after="40"/>
            </w:pPr>
            <w:r>
              <w:rPr>
                <w:sz w:val="18"/>
              </w:rPr>
            </w:r>
            <w:r>
              <w:rPr>
                <w:sz w:val="18"/>
              </w:rPr>
              <w:t>deterministic</w:t>
            </w:r>
          </w:p>
        </w:tc>
        <w:tc>
          <w:tcPr>
            <w:tcW w:type="dxa" w:w="1882"/>
          </w:tcPr>
          <w:p>
            <w:pPr>
              <w:spacing w:after="40"/>
            </w:pPr>
            <w:r>
              <w:rPr>
                <w:sz w:val="18"/>
              </w:rPr>
            </w:r>
            <w:r>
              <w:rPr>
                <w:sz w:val="18"/>
              </w:rPr>
              <w:t>99%</w:t>
            </w:r>
          </w:p>
        </w:tc>
        <w:tc>
          <w:tcPr>
            <w:tcW w:type="dxa" w:w="1882"/>
          </w:tcPr>
          <w:p>
            <w:pPr>
              <w:spacing w:after="40"/>
            </w:pPr>
            <w:r>
              <w:rPr>
                <w:sz w:val="18"/>
              </w:rPr>
            </w:r>
            <w:r>
              <w:rPr>
                <w:sz w:val="18"/>
              </w:rPr>
              <w:t>99%</w:t>
            </w:r>
          </w:p>
        </w:tc>
        <w:tc>
          <w:tcPr>
            <w:tcW w:type="dxa" w:w="1882"/>
          </w:tcPr>
          <w:p>
            <w:pPr>
              <w:spacing w:after="40"/>
            </w:pPr>
            <w:r>
              <w:rPr>
                <w:sz w:val="18"/>
              </w:rPr>
            </w:r>
          </w:p>
        </w:tc>
      </w:tr>
      <w:tr>
        <w:tc>
          <w:tcPr>
            <w:tcW w:type="dxa" w:w="1882"/>
          </w:tcPr>
          <w:p>
            <w:pPr>
              <w:spacing w:after="40"/>
            </w:pPr>
            <w:r>
              <w:rPr>
                <w:sz w:val="18"/>
              </w:rPr>
            </w:r>
            <w:r>
              <w:rPr>
                <w:sz w:val="18"/>
              </w:rPr>
              <w:t>Date is valid ISO 8601</w:t>
            </w:r>
          </w:p>
        </w:tc>
        <w:tc>
          <w:tcPr>
            <w:tcW w:type="dxa" w:w="1882"/>
          </w:tcPr>
          <w:p>
            <w:pPr>
              <w:spacing w:after="40"/>
            </w:pPr>
            <w:r>
              <w:rPr>
                <w:sz w:val="18"/>
              </w:rPr>
            </w:r>
            <w:r>
              <w:rPr>
                <w:sz w:val="18"/>
              </w:rPr>
              <w:t>deterministic</w:t>
            </w:r>
          </w:p>
        </w:tc>
        <w:tc>
          <w:tcPr>
            <w:tcW w:type="dxa" w:w="1882"/>
          </w:tcPr>
          <w:p>
            <w:pPr>
              <w:spacing w:after="40"/>
            </w:pPr>
            <w:r>
              <w:rPr>
                <w:sz w:val="18"/>
              </w:rPr>
            </w:r>
            <w:r>
              <w:rPr>
                <w:sz w:val="18"/>
              </w:rPr>
              <w:t>100%</w:t>
            </w:r>
          </w:p>
        </w:tc>
        <w:tc>
          <w:tcPr>
            <w:tcW w:type="dxa" w:w="1882"/>
          </w:tcPr>
          <w:p>
            <w:pPr>
              <w:spacing w:after="40"/>
            </w:pPr>
            <w:r>
              <w:rPr>
                <w:sz w:val="18"/>
              </w:rPr>
            </w:r>
            <w:r>
              <w:rPr>
                <w:sz w:val="18"/>
              </w:rPr>
              <w:t>100%</w:t>
            </w:r>
          </w:p>
        </w:tc>
        <w:tc>
          <w:tcPr>
            <w:tcW w:type="dxa" w:w="1882"/>
          </w:tcPr>
          <w:p>
            <w:pPr>
              <w:spacing w:after="40"/>
            </w:pPr>
            <w:r>
              <w:rPr>
                <w:sz w:val="18"/>
              </w:rPr>
            </w:r>
          </w:p>
        </w:tc>
      </w:tr>
      <w:tr>
        <w:tc>
          <w:tcPr>
            <w:tcW w:type="dxa" w:w="1882"/>
          </w:tcPr>
          <w:p>
            <w:pPr>
              <w:spacing w:after="40"/>
            </w:pPr>
            <w:r>
              <w:rPr>
                <w:sz w:val="18"/>
              </w:rPr>
            </w:r>
            <w:r>
              <w:rPr>
                <w:sz w:val="18"/>
              </w:rPr>
              <w:t>Supplier name not fabricated</w:t>
            </w:r>
          </w:p>
        </w:tc>
        <w:tc>
          <w:tcPr>
            <w:tcW w:type="dxa" w:w="1882"/>
          </w:tcPr>
          <w:p>
            <w:pPr>
              <w:spacing w:after="40"/>
            </w:pPr>
            <w:r>
              <w:rPr>
                <w:sz w:val="18"/>
              </w:rPr>
            </w:r>
            <w:r>
              <w:rPr>
                <w:sz w:val="18"/>
              </w:rPr>
              <w:t>rubric</w:t>
            </w:r>
          </w:p>
        </w:tc>
        <w:tc>
          <w:tcPr>
            <w:tcW w:type="dxa" w:w="1882"/>
          </w:tcPr>
          <w:p>
            <w:pPr>
              <w:spacing w:after="40"/>
            </w:pPr>
            <w:r>
              <w:rPr>
                <w:sz w:val="18"/>
              </w:rPr>
            </w:r>
            <w:r>
              <w:rPr>
                <w:sz w:val="18"/>
              </w:rPr>
              <w:t>4.6/5</w:t>
            </w:r>
          </w:p>
        </w:tc>
        <w:tc>
          <w:tcPr>
            <w:tcW w:type="dxa" w:w="1882"/>
          </w:tcPr>
          <w:p>
            <w:pPr>
              <w:spacing w:after="40"/>
            </w:pPr>
            <w:r>
              <w:rPr>
                <w:sz w:val="18"/>
              </w:rPr>
            </w:r>
            <w:r>
              <w:rPr>
                <w:sz w:val="18"/>
              </w:rPr>
              <w:t>4.6/5</w:t>
            </w:r>
          </w:p>
        </w:tc>
        <w:tc>
          <w:tcPr>
            <w:tcW w:type="dxa" w:w="1882"/>
          </w:tcPr>
          <w:p>
            <w:pPr>
              <w:spacing w:after="40"/>
            </w:pPr>
            <w:r>
              <w:rPr>
                <w:sz w:val="18"/>
              </w:rPr>
            </w:r>
          </w:p>
        </w:tc>
      </w:tr>
      <w:tr>
        <w:tc>
          <w:tcPr>
            <w:tcW w:type="dxa" w:w="1882"/>
          </w:tcPr>
          <w:p>
            <w:pPr>
              <w:spacing w:after="40"/>
            </w:pPr>
            <w:r>
              <w:rPr>
                <w:sz w:val="18"/>
              </w:rPr>
            </w:r>
            <w:r>
              <w:rPr>
                <w:sz w:val="18"/>
              </w:rPr>
              <w:t>Absent fields reported as null</w:t>
            </w:r>
          </w:p>
        </w:tc>
        <w:tc>
          <w:tcPr>
            <w:tcW w:type="dxa" w:w="1882"/>
          </w:tcPr>
          <w:p>
            <w:pPr>
              <w:spacing w:after="40"/>
            </w:pPr>
            <w:r>
              <w:rPr>
                <w:sz w:val="18"/>
              </w:rPr>
            </w:r>
            <w:r>
              <w:rPr>
                <w:sz w:val="18"/>
              </w:rPr>
              <w:t>behavioural</w:t>
            </w:r>
          </w:p>
        </w:tc>
        <w:tc>
          <w:tcPr>
            <w:tcW w:type="dxa" w:w="1882"/>
          </w:tcPr>
          <w:p>
            <w:pPr>
              <w:spacing w:after="40"/>
            </w:pPr>
            <w:r>
              <w:rPr>
                <w:sz w:val="18"/>
              </w:rPr>
            </w:r>
            <w:r>
              <w:rPr>
                <w:sz w:val="18"/>
              </w:rPr>
              <w:t>95%</w:t>
            </w:r>
          </w:p>
        </w:tc>
        <w:tc>
          <w:tcPr>
            <w:tcW w:type="dxa" w:w="1882"/>
          </w:tcPr>
          <w:p>
            <w:pPr>
              <w:spacing w:after="40"/>
            </w:pPr>
            <w:r>
              <w:rPr>
                <w:sz w:val="18"/>
              </w:rPr>
            </w:r>
            <w:r>
              <w:rPr>
                <w:b/>
                <w:sz w:val="18"/>
              </w:rPr>
              <w:t>88%</w:t>
            </w:r>
          </w:p>
        </w:tc>
        <w:tc>
          <w:tcPr>
            <w:tcW w:type="dxa" w:w="1882"/>
          </w:tcPr>
          <w:p>
            <w:pPr>
              <w:spacing w:after="40"/>
            </w:pPr>
            <w:r>
              <w:rPr>
                <w:sz w:val="18"/>
              </w:rPr>
            </w:r>
            <w:r>
              <w:rPr>
                <w:b/>
                <w:sz w:val="18"/>
              </w:rPr>
              <w:t>−7</w:t>
            </w:r>
          </w:p>
        </w:tc>
      </w:tr>
      <w:tr>
        <w:tc>
          <w:tcPr>
            <w:tcW w:type="dxa" w:w="1882"/>
          </w:tcPr>
          <w:p>
            <w:pPr>
              <w:spacing w:after="40"/>
            </w:pPr>
            <w:r>
              <w:rPr>
                <w:sz w:val="18"/>
              </w:rPr>
            </w:r>
            <w:r>
              <w:rPr>
                <w:sz w:val="18"/>
              </w:rPr>
              <w:t>Refuses unreadable documents</w:t>
            </w:r>
          </w:p>
        </w:tc>
        <w:tc>
          <w:tcPr>
            <w:tcW w:type="dxa" w:w="1882"/>
          </w:tcPr>
          <w:p>
            <w:pPr>
              <w:spacing w:after="40"/>
            </w:pPr>
            <w:r>
              <w:rPr>
                <w:sz w:val="18"/>
              </w:rPr>
            </w:r>
            <w:r>
              <w:rPr>
                <w:sz w:val="18"/>
              </w:rPr>
              <w:t>behavioural</w:t>
            </w:r>
          </w:p>
        </w:tc>
        <w:tc>
          <w:tcPr>
            <w:tcW w:type="dxa" w:w="1882"/>
          </w:tcPr>
          <w:p>
            <w:pPr>
              <w:spacing w:after="40"/>
            </w:pPr>
            <w:r>
              <w:rPr>
                <w:sz w:val="18"/>
              </w:rPr>
            </w:r>
            <w:r>
              <w:rPr>
                <w:sz w:val="18"/>
              </w:rPr>
              <w:t>100%</w:t>
            </w:r>
          </w:p>
        </w:tc>
        <w:tc>
          <w:tcPr>
            <w:tcW w:type="dxa" w:w="1882"/>
          </w:tcPr>
          <w:p>
            <w:pPr>
              <w:spacing w:after="40"/>
            </w:pPr>
            <w:r>
              <w:rPr>
                <w:sz w:val="18"/>
              </w:rPr>
            </w:r>
            <w:r>
              <w:rPr>
                <w:b/>
                <w:sz w:val="18"/>
              </w:rPr>
              <w:t>93%</w:t>
            </w:r>
          </w:p>
        </w:tc>
        <w:tc>
          <w:tcPr>
            <w:tcW w:type="dxa" w:w="1882"/>
          </w:tcPr>
          <w:p>
            <w:pPr>
              <w:spacing w:after="40"/>
            </w:pPr>
            <w:r>
              <w:rPr>
                <w:sz w:val="18"/>
              </w:rPr>
            </w:r>
            <w:r>
              <w:rPr>
                <w:b/>
                <w:sz w:val="18"/>
              </w:rPr>
              <w:t>−7</w:t>
            </w:r>
          </w:p>
        </w:tc>
      </w:tr>
    </w:tbl>
    <w:p>
      <w:pPr>
        <w:spacing w:after="40"/>
      </w:pPr>
    </w:p>
    <w:p>
      <w:r>
        <w:rPr>
          <w:b/>
        </w:rPr>
        <w:t>Overall: 87% → 96%.</w:t>
      </w:r>
    </w:p>
    <w:p>
      <w:pPr>
        <w:pStyle w:val="Heading1"/>
      </w:pPr>
      <w:r>
        <w:t>Per-case regressions</w:t>
      </w:r>
    </w:p>
    <w:p>
      <w:pPr>
        <w:ind w:left="454"/>
        <w:shd w:val="clear" w:color="auto" w:fill="FAFAFB"/>
      </w:pPr>
      <w:r>
        <w:rPr>
          <w:i/>
        </w:rPr>
        <w:t>The aggregate improved. Two cases got worse. This section exists because an aggregate that rises</w:t>
      </w:r>
    </w:p>
    <w:p>
      <w:pPr>
        <w:ind w:left="454"/>
        <w:shd w:val="clear" w:color="auto" w:fill="FAFAFB"/>
      </w:pPr>
      <w:r>
        <w:rPr>
          <w:i/>
        </w:rPr>
        <w:t>while individual cases break is exactly how a regression ships.</w:t>
      </w:r>
    </w:p>
    <w:p>
      <w:r>
        <w:rPr>
          <w:b/>
        </w:rPr>
        <w:t>INV-023: handwritten amounts.</w:t>
      </w:r>
      <w:r>
        <w:t xml:space="preserve"> v3 correctly returned </w:t>
      </w:r>
      <w:r>
        <w:rPr>
          <w:rFonts w:ascii="Consolas" w:hAnsi="Consolas"/>
          <w:sz w:val="19"/>
        </w:rPr>
        <w:t>null</w:t>
      </w:r>
      <w:r>
        <w:t xml:space="preserve"> for an illegible total. v4 infers a value from the line items, which is the new instruction working where it should not. </w:t>
      </w:r>
      <w:r>
        <w:rPr>
          <w:i/>
        </w:rPr>
        <w:t>Action:</w:t>
      </w:r>
      <w:r>
        <w:t xml:space="preserve"> added as permanent regression case. Prompt v5 will scope the reconciliation instruction to machine-readable totals.</w:t>
      </w:r>
    </w:p>
    <w:p>
      <w:r>
        <w:rPr>
          <w:b/>
        </w:rPr>
        <w:t>INV-031: scanned at low resolution.</w:t>
      </w:r>
      <w:r>
        <w:t xml:space="preserve"> v3 refused. v4 attempts extraction and returns partly wrong values. Same root cause. </w:t>
      </w:r>
      <w:r>
        <w:rPr>
          <w:i/>
        </w:rPr>
        <w:t>Action:</w:t>
      </w:r>
      <w:r>
        <w:t xml:space="preserve"> added as permanent regression case.</w:t>
      </w:r>
    </w:p>
    <w:p>
      <w:pPr>
        <w:pStyle w:val="Heading1"/>
      </w:pPr>
      <w:r>
        <w:t>Cost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v3</w:t>
            </w:r>
          </w:p>
        </w:tc>
        <w:tc>
          <w:tcPr>
            <w:tcW w:type="dxa" w:w="3137"/>
            <w:shd w:val="clear" w:color="auto" w:fill="F1EAFE"/>
          </w:tcPr>
          <w:p>
            <w:pPr>
              <w:spacing w:after="40"/>
            </w:pPr>
            <w:r>
              <w:rPr>
                <w:b/>
                <w:sz w:val="18"/>
              </w:rPr>
            </w:r>
            <w:r>
              <w:rPr>
                <w:b/>
                <w:sz w:val="18"/>
              </w:rPr>
              <w:t>v4</w:t>
            </w:r>
          </w:p>
        </w:tc>
      </w:tr>
      <w:tr>
        <w:tc>
          <w:tcPr>
            <w:tcW w:type="dxa" w:w="3137"/>
          </w:tcPr>
          <w:p>
            <w:pPr>
              <w:spacing w:after="40"/>
            </w:pPr>
            <w:r>
              <w:rPr>
                <w:sz w:val="18"/>
              </w:rPr>
            </w:r>
            <w:r>
              <w:rPr>
                <w:sz w:val="18"/>
              </w:rPr>
              <w:t>Tokens per request (median)</w:t>
            </w:r>
          </w:p>
        </w:tc>
        <w:tc>
          <w:tcPr>
            <w:tcW w:type="dxa" w:w="3137"/>
          </w:tcPr>
          <w:p>
            <w:pPr>
              <w:spacing w:after="40"/>
            </w:pPr>
            <w:r>
              <w:rPr>
                <w:sz w:val="18"/>
              </w:rPr>
            </w:r>
            <w:r>
              <w:rPr>
                <w:sz w:val="18"/>
              </w:rPr>
              <w:t>1,840</w:t>
            </w:r>
          </w:p>
        </w:tc>
        <w:tc>
          <w:tcPr>
            <w:tcW w:type="dxa" w:w="3137"/>
          </w:tcPr>
          <w:p>
            <w:pPr>
              <w:spacing w:after="40"/>
            </w:pPr>
            <w:r>
              <w:rPr>
                <w:sz w:val="18"/>
              </w:rPr>
            </w:r>
            <w:r>
              <w:rPr>
                <w:sz w:val="18"/>
              </w:rPr>
              <w:t>2,061 (+12%)</w:t>
            </w:r>
          </w:p>
        </w:tc>
      </w:tr>
      <w:tr>
        <w:tc>
          <w:tcPr>
            <w:tcW w:type="dxa" w:w="3137"/>
          </w:tcPr>
          <w:p>
            <w:pPr>
              <w:spacing w:after="40"/>
            </w:pPr>
            <w:r>
              <w:rPr>
                <w:sz w:val="18"/>
              </w:rPr>
            </w:r>
            <w:r>
              <w:rPr>
                <w:sz w:val="18"/>
              </w:rPr>
              <w:t>Retries per 100 requests</w:t>
            </w:r>
          </w:p>
        </w:tc>
        <w:tc>
          <w:tcPr>
            <w:tcW w:type="dxa" w:w="3137"/>
          </w:tcPr>
          <w:p>
            <w:pPr>
              <w:spacing w:after="40"/>
            </w:pPr>
            <w:r>
              <w:rPr>
                <w:sz w:val="18"/>
              </w:rPr>
            </w:r>
            <w:r>
              <w:rPr>
                <w:sz w:val="18"/>
              </w:rPr>
              <w:t>14</w:t>
            </w:r>
          </w:p>
        </w:tc>
        <w:tc>
          <w:tcPr>
            <w:tcW w:type="dxa" w:w="3137"/>
          </w:tcPr>
          <w:p>
            <w:pPr>
              <w:spacing w:after="40"/>
            </w:pPr>
            <w:r>
              <w:rPr>
                <w:sz w:val="18"/>
              </w:rPr>
            </w:r>
            <w:r>
              <w:rPr>
                <w:sz w:val="18"/>
              </w:rPr>
              <w:t>3</w:t>
            </w:r>
          </w:p>
        </w:tc>
      </w:tr>
      <w:tr>
        <w:tc>
          <w:tcPr>
            <w:tcW w:type="dxa" w:w="3137"/>
          </w:tcPr>
          <w:p>
            <w:pPr>
              <w:spacing w:after="40"/>
            </w:pPr>
            <w:r>
              <w:rPr>
                <w:sz w:val="18"/>
              </w:rPr>
            </w:r>
            <w:r>
              <w:rPr>
                <w:b/>
                <w:sz w:val="18"/>
              </w:rPr>
              <w:t>Cost per completed task</w:t>
            </w:r>
          </w:p>
        </w:tc>
        <w:tc>
          <w:tcPr>
            <w:tcW w:type="dxa" w:w="3137"/>
          </w:tcPr>
          <w:p>
            <w:pPr>
              <w:spacing w:after="40"/>
            </w:pPr>
            <w:r>
              <w:rPr>
                <w:sz w:val="18"/>
              </w:rPr>
            </w:r>
            <w:r>
              <w:rPr>
                <w:sz w:val="18"/>
              </w:rPr>
              <w:t>$0.0121</w:t>
            </w:r>
          </w:p>
        </w:tc>
        <w:tc>
          <w:tcPr>
            <w:tcW w:type="dxa" w:w="3137"/>
          </w:tcPr>
          <w:p>
            <w:pPr>
              <w:spacing w:after="40"/>
            </w:pPr>
            <w:r>
              <w:rPr>
                <w:sz w:val="18"/>
              </w:rPr>
            </w:r>
            <w:r>
              <w:rPr>
                <w:b/>
                <w:sz w:val="18"/>
              </w:rPr>
              <w:t>$0.0104 (−14%)</w:t>
            </w:r>
          </w:p>
        </w:tc>
      </w:tr>
    </w:tbl>
    <w:p>
      <w:pPr>
        <w:spacing w:after="40"/>
      </w:pPr>
    </w:p>
    <w:p>
      <w:r>
        <w:t xml:space="preserve">The prompt got longer and cheaper: retries were the dominant cost, and better first-pass accuracy removed most of them. Cost per </w:t>
      </w:r>
      <w:r>
        <w:rPr>
          <w:i/>
        </w:rPr>
        <w:t>call</w:t>
      </w:r>
      <w:r>
        <w:t xml:space="preserve"> would have shown the opposite.</w:t>
      </w:r>
    </w:p>
    <w:p>
      <w:pPr>
        <w:pStyle w:val="Heading1"/>
      </w:pPr>
      <w:r>
        <w:t>Variance</w:t>
      </w:r>
    </w:p>
    <w:p>
      <w:r>
        <w:t>Run at production temperature, five runs per case.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v3</w:t>
            </w:r>
          </w:p>
        </w:tc>
        <w:tc>
          <w:tcPr>
            <w:tcW w:type="dxa" w:w="3137"/>
            <w:shd w:val="clear" w:color="auto" w:fill="F1EAFE"/>
          </w:tcPr>
          <w:p>
            <w:pPr>
              <w:spacing w:after="40"/>
            </w:pPr>
            <w:r>
              <w:rPr>
                <w:b/>
                <w:sz w:val="18"/>
              </w:rPr>
            </w:r>
            <w:r>
              <w:rPr>
                <w:b/>
                <w:sz w:val="18"/>
              </w:rPr>
              <w:t>v4</w:t>
            </w:r>
          </w:p>
        </w:tc>
      </w:tr>
      <w:tr>
        <w:tc>
          <w:tcPr>
            <w:tcW w:type="dxa" w:w="3137"/>
          </w:tcPr>
          <w:p>
            <w:pPr>
              <w:spacing w:after="40"/>
            </w:pPr>
            <w:r>
              <w:rPr>
                <w:sz w:val="18"/>
              </w:rPr>
            </w:r>
            <w:r>
              <w:rPr>
                <w:sz w:val="18"/>
              </w:rPr>
              <w:t>Cases passing 5/5</w:t>
            </w:r>
          </w:p>
        </w:tc>
        <w:tc>
          <w:tcPr>
            <w:tcW w:type="dxa" w:w="3137"/>
          </w:tcPr>
          <w:p>
            <w:pPr>
              <w:spacing w:after="40"/>
            </w:pPr>
            <w:r>
              <w:rPr>
                <w:sz w:val="18"/>
              </w:rPr>
            </w:r>
            <w:r>
              <w:rPr>
                <w:sz w:val="18"/>
              </w:rPr>
              <w:t>28</w:t>
            </w:r>
          </w:p>
        </w:tc>
        <w:tc>
          <w:tcPr>
            <w:tcW w:type="dxa" w:w="3137"/>
          </w:tcPr>
          <w:p>
            <w:pPr>
              <w:spacing w:after="40"/>
            </w:pPr>
            <w:r>
              <w:rPr>
                <w:sz w:val="18"/>
              </w:rPr>
            </w:r>
            <w:r>
              <w:rPr>
                <w:sz w:val="18"/>
              </w:rPr>
              <w:t>35</w:t>
            </w:r>
          </w:p>
        </w:tc>
      </w:tr>
      <w:tr>
        <w:tc>
          <w:tcPr>
            <w:tcW w:type="dxa" w:w="3137"/>
          </w:tcPr>
          <w:p>
            <w:pPr>
              <w:spacing w:after="40"/>
            </w:pPr>
            <w:r>
              <w:rPr>
                <w:sz w:val="18"/>
              </w:rPr>
            </w:r>
            <w:r>
              <w:rPr>
                <w:sz w:val="18"/>
              </w:rPr>
              <w:t>Cases passing 3 to 4/5</w:t>
            </w:r>
          </w:p>
        </w:tc>
        <w:tc>
          <w:tcPr>
            <w:tcW w:type="dxa" w:w="3137"/>
          </w:tcPr>
          <w:p>
            <w:pPr>
              <w:spacing w:after="40"/>
            </w:pPr>
            <w:r>
              <w:rPr>
                <w:sz w:val="18"/>
              </w:rPr>
            </w:r>
            <w:r>
              <w:rPr>
                <w:sz w:val="18"/>
              </w:rPr>
              <w:t>9</w:t>
            </w:r>
          </w:p>
        </w:tc>
        <w:tc>
          <w:tcPr>
            <w:tcW w:type="dxa" w:w="3137"/>
          </w:tcPr>
          <w:p>
            <w:pPr>
              <w:spacing w:after="40"/>
            </w:pPr>
            <w:r>
              <w:rPr>
                <w:sz w:val="18"/>
              </w:rPr>
            </w:r>
            <w:r>
              <w:rPr>
                <w:sz w:val="18"/>
              </w:rPr>
              <w:t>4</w:t>
            </w:r>
          </w:p>
        </w:tc>
      </w:tr>
      <w:tr>
        <w:tc>
          <w:tcPr>
            <w:tcW w:type="dxa" w:w="3137"/>
          </w:tcPr>
          <w:p>
            <w:pPr>
              <w:spacing w:after="40"/>
            </w:pPr>
            <w:r>
              <w:rPr>
                <w:sz w:val="18"/>
              </w:rPr>
            </w:r>
            <w:r>
              <w:rPr>
                <w:sz w:val="18"/>
              </w:rPr>
              <w:t>Cases passing 0 to 2/5</w:t>
            </w:r>
          </w:p>
        </w:tc>
        <w:tc>
          <w:tcPr>
            <w:tcW w:type="dxa" w:w="3137"/>
          </w:tcPr>
          <w:p>
            <w:pPr>
              <w:spacing w:after="40"/>
            </w:pPr>
            <w:r>
              <w:rPr>
                <w:sz w:val="18"/>
              </w:rPr>
            </w:r>
            <w:r>
              <w:rPr>
                <w:sz w:val="18"/>
              </w:rPr>
              <w:t>3</w:t>
            </w:r>
          </w:p>
        </w:tc>
        <w:tc>
          <w:tcPr>
            <w:tcW w:type="dxa" w:w="3137"/>
          </w:tcPr>
          <w:p>
            <w:pPr>
              <w:spacing w:after="40"/>
            </w:pPr>
            <w:r>
              <w:rPr>
                <w:sz w:val="18"/>
              </w:rPr>
            </w:r>
            <w:r>
              <w:rPr>
                <w:sz w:val="18"/>
              </w:rPr>
              <w:t>1</w:t>
            </w:r>
          </w:p>
        </w:tc>
      </w:tr>
    </w:tbl>
    <w:p>
      <w:pPr>
        <w:spacing w:after="40"/>
      </w:pPr>
    </w:p>
    <w:p>
      <w:r>
        <w:t>Consistency improved alongside accuracy: the two do not always move together, which is why both are reported.</w:t>
      </w:r>
    </w:p>
    <w:p>
      <w:pPr>
        <w:pStyle w:val="Heading1"/>
      </w:pPr>
      <w:r>
        <w:t>Security</w:t>
      </w:r>
    </w:p>
    <w:p>
      <w:r>
        <w:t>Re-run because the instruction block changed.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Result</w:t>
            </w:r>
          </w:p>
        </w:tc>
      </w:tr>
      <w:tr>
        <w:tc>
          <w:tcPr>
            <w:tcW w:type="dxa" w:w="4706"/>
          </w:tcPr>
          <w:p>
            <w:pPr>
              <w:spacing w:after="40"/>
            </w:pPr>
            <w:r>
              <w:rPr>
                <w:sz w:val="18"/>
              </w:rPr>
            </w:r>
            <w:r>
              <w:rPr>
                <w:sz w:val="18"/>
              </w:rPr>
              <w:t>Direct injection attempts</w:t>
            </w:r>
          </w:p>
        </w:tc>
        <w:tc>
          <w:tcPr>
            <w:tcW w:type="dxa" w:w="4706"/>
          </w:tcPr>
          <w:p>
            <w:pPr>
              <w:spacing w:after="40"/>
            </w:pPr>
            <w:r>
              <w:rPr>
                <w:sz w:val="18"/>
              </w:rPr>
            </w:r>
            <w:r>
              <w:rPr>
                <w:sz w:val="18"/>
              </w:rPr>
              <w:t>12/12 blocked</w:t>
            </w:r>
          </w:p>
        </w:tc>
      </w:tr>
      <w:tr>
        <w:tc>
          <w:tcPr>
            <w:tcW w:type="dxa" w:w="4706"/>
          </w:tcPr>
          <w:p>
            <w:pPr>
              <w:spacing w:after="40"/>
            </w:pPr>
            <w:r>
              <w:rPr>
                <w:sz w:val="18"/>
              </w:rPr>
            </w:r>
            <w:r>
              <w:rPr>
                <w:sz w:val="18"/>
              </w:rPr>
              <w:t>Indirect injection (hostile text in document)</w:t>
            </w:r>
          </w:p>
        </w:tc>
        <w:tc>
          <w:tcPr>
            <w:tcW w:type="dxa" w:w="4706"/>
          </w:tcPr>
          <w:p>
            <w:pPr>
              <w:spacing w:after="40"/>
            </w:pPr>
            <w:r>
              <w:rPr>
                <w:sz w:val="18"/>
              </w:rPr>
            </w:r>
            <w:r>
              <w:rPr>
                <w:b/>
                <w:sz w:val="18"/>
              </w:rPr>
              <w:t>11/12 blocked</w:t>
            </w:r>
          </w:p>
        </w:tc>
      </w:tr>
      <w:tr>
        <w:tc>
          <w:tcPr>
            <w:tcW w:type="dxa" w:w="4706"/>
          </w:tcPr>
          <w:p>
            <w:pPr>
              <w:spacing w:after="40"/>
            </w:pPr>
            <w:r>
              <w:rPr>
                <w:sz w:val="18"/>
              </w:rPr>
            </w:r>
            <w:r>
              <w:rPr>
                <w:sz w:val="18"/>
              </w:rPr>
              <w:t>System prompt extraction</w:t>
            </w:r>
          </w:p>
        </w:tc>
        <w:tc>
          <w:tcPr>
            <w:tcW w:type="dxa" w:w="4706"/>
          </w:tcPr>
          <w:p>
            <w:pPr>
              <w:spacing w:after="40"/>
            </w:pPr>
            <w:r>
              <w:rPr>
                <w:sz w:val="18"/>
              </w:rPr>
            </w:r>
            <w:r>
              <w:rPr>
                <w:sz w:val="18"/>
              </w:rPr>
              <w:t>Succeeded, contains nothing sensitive. Accepted</w:t>
            </w:r>
          </w:p>
        </w:tc>
      </w:tr>
    </w:tbl>
    <w:p>
      <w:pPr>
        <w:spacing w:after="40"/>
      </w:pPr>
    </w:p>
    <w:p>
      <w:r>
        <w:t>The one indirect injection that succeeded caused the model to append a sentence to the output. Blast radius: cosmetic: this system has no tools and no write access. Recorded, not escalated.</w:t>
      </w:r>
    </w:p>
    <w:p>
      <w:pPr>
        <w:pStyle w:val="Heading1"/>
      </w:pPr>
      <w:r>
        <w:t>Decision</w:t>
      </w:r>
    </w:p>
    <w:p>
      <w:r>
        <w:rPr>
          <w:b/>
        </w:rPr>
        <w:t>Ship v4.</w:t>
      </w:r>
      <w:r>
        <w:t xml:space="preserve"> Arithmetic accuracy was the presenting problem and it is materially fixed. The two behavioural regressions are understood, scoped to a narrow document class, and now permanent test cases.</w:t>
      </w:r>
    </w:p>
    <w:p>
      <w:r>
        <w:rPr>
          <w:b/>
        </w:rPr>
        <w:t>Follow-up:</w:t>
      </w:r>
      <w:r>
        <w:t xml:space="preserve"> v5 to scope the reconciliation instruction to machine-readable totals only. Target next sprint.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Evaluated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Prompt Evaluation Report: Invoice Extraction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Prompt Evaluation Report: Invoice Extraction</dc:title>
  <dc:subject/>
  <dc:creator>BvLogic</dc:creator>
  <cp:keywords>BvLogic, Report, enterprise AI, Prompt Evaluation Report: Invoice Extraction</cp:keywords>
  <dc:description/>
  <cp:lastModifiedBy/>
  <cp:revision>1</cp:revision>
  <dcterms:created xsi:type="dcterms:W3CDTF">2013-12-23T23:15:00Z</dcterms:created>
  <dcterms:modified xsi:type="dcterms:W3CDTF">2013-12-23T23:15:00Z</dcterms:modified>
  <cp:category>Report</cp:category>
  <dc:language>en-GB</dc:language>
</cp:coreProperties>
</file>