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Status Report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BVL-5444D6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Most status reports are green until they are red. This one is structured so that the things</w:t>
      </w:r>
    </w:p>
    <w:p>
      <w:pPr>
        <w:ind w:left="454"/>
        <w:shd w:val="clear" w:color="auto" w:fill="FAFAFB"/>
      </w:pPr>
      <w:r>
        <w:rPr>
          <w:i/>
        </w:rPr>
        <w:t>which predict lateness (ageing blockers, decision latency, cumulative change) appear whether</w:t>
      </w:r>
    </w:p>
    <w:p>
      <w:pPr>
        <w:ind w:left="454"/>
        <w:shd w:val="clear" w:color="auto" w:fill="FAFAFB"/>
      </w:pPr>
      <w:r>
        <w:rPr>
          <w:i/>
        </w:rPr>
        <w:t>or not anyone volunteers them.</w:t>
      </w:r>
    </w:p>
    <w:p>
      <w:pPr>
        <w:ind w:left="454"/>
        <w:shd w:val="clear" w:color="auto" w:fill="FAFAFB"/>
      </w:pPr>
    </w:p>
    <w:p>
      <w:pPr>
        <w:ind w:left="454"/>
        <w:shd w:val="clear" w:color="auto" w:fill="FAFAFB"/>
      </w:pPr>
      <w:r>
        <w:rPr>
          <w:i/>
        </w:rPr>
        <w:t>One page. If it takes half a day to produce, it is consuming the capacity that should be</w:t>
      </w:r>
    </w:p>
    <w:p>
      <w:pPr>
        <w:ind w:left="454"/>
        <w:shd w:val="clear" w:color="auto" w:fill="FAFAFB"/>
      </w:pPr>
      <w:r>
        <w:rPr>
          <w:i/>
        </w:rPr>
        <w:t>removing blockers.</w:t>
      </w:r>
    </w:p>
    <w:p>
      <w:r>
        <w:rPr>
          <w:b/>
        </w:rPr>
        <w:t>Project:</w:t>
      </w:r>
      <w:r>
        <w:t xml:space="preserve"> _______________  </w:t>
      </w:r>
      <w:r>
        <w:rPr>
          <w:b/>
        </w:rPr>
        <w:t>Reporting period:</w:t>
      </w:r>
      <w:r>
        <w:t xml:space="preserve"> _______ </w:t>
      </w:r>
      <w:r>
        <w:rPr>
          <w:b/>
        </w:rPr>
        <w:t>Prepared by:</w:t>
      </w:r>
      <w:r>
        <w:t xml:space="preserve"> _______________  </w:t>
      </w:r>
      <w:r>
        <w:rPr>
          <w:b/>
        </w:rPr>
        <w:t>For:</w:t>
      </w:r>
      <w:r>
        <w:t xml:space="preserve"> _______________</w:t>
      </w:r>
    </w:p>
    <w:p>
      <w:pPr>
        <w:pStyle w:val="Heading1"/>
      </w:pPr>
      <w:r>
        <w:t>1. The headline</w:t>
      </w:r>
    </w:p>
    <w:p>
      <w:r>
        <w:rPr>
          <w:b/>
        </w:rPr>
        <w:t>Would I personally bet on the current end date?</w:t>
      </w:r>
      <w:r>
        <w:t xml:space="preserve"> yes / no / not any more</w:t>
      </w:r>
    </w:p>
    <w:p>
      <w:r>
        <w:rPr>
          <w:b/>
        </w:rPr>
        <w:t>If no: by how much, and since when did I know?</w:t>
      </w:r>
      <w:r>
        <w:t xml:space="preserve"> _______________</w:t>
      </w:r>
    </w:p>
    <w:p>
      <w:r>
        <w:t>This replaces a status colour deliberately. "Amber" is a word that lets everyone defer the conversation; a direct answer to a direct question does not. Projects rarely fail through one event: they fail through a series of "we will catch up next sprint" judgements, none of which is ever escalated.</w:t>
      </w:r>
    </w:p>
    <w:p>
      <w:pPr>
        <w:pStyle w:val="Heading1"/>
      </w:pPr>
      <w:r>
        <w:t>2. Progress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This period</w:t>
            </w:r>
          </w:p>
        </w:tc>
      </w:tr>
      <w:tr>
        <w:tc>
          <w:tcPr>
            <w:tcW w:type="dxa" w:w="4706"/>
          </w:tcPr>
          <w:p>
            <w:pPr>
              <w:spacing w:after="40"/>
            </w:pPr>
            <w:r>
              <w:rPr>
                <w:sz w:val="18"/>
              </w:rPr>
            </w:r>
            <w:r>
              <w:rPr>
                <w:sz w:val="18"/>
              </w:rPr>
              <w:t xml:space="preserve">Completed </w:t>
            </w:r>
            <w:r>
              <w:rPr>
                <w:b/>
                <w:sz w:val="18"/>
              </w:rPr>
              <w:t>and accepted</w:t>
            </w:r>
          </w:p>
        </w:tc>
        <w:tc>
          <w:tcPr>
            <w:tcW w:type="dxa" w:w="4706"/>
          </w:tcPr>
          <w:p>
            <w:pPr>
              <w:spacing w:after="40"/>
            </w:pPr>
            <w:r>
              <w:rPr>
                <w:sz w:val="18"/>
              </w:rPr>
            </w:r>
          </w:p>
        </w:tc>
      </w:tr>
      <w:tr>
        <w:tc>
          <w:tcPr>
            <w:tcW w:type="dxa" w:w="4706"/>
          </w:tcPr>
          <w:p>
            <w:pPr>
              <w:spacing w:after="40"/>
            </w:pPr>
            <w:r>
              <w:rPr>
                <w:sz w:val="18"/>
              </w:rPr>
            </w:r>
            <w:r>
              <w:rPr>
                <w:sz w:val="18"/>
              </w:rPr>
              <w:t>In progress</w:t>
            </w:r>
          </w:p>
        </w:tc>
        <w:tc>
          <w:tcPr>
            <w:tcW w:type="dxa" w:w="4706"/>
          </w:tcPr>
          <w:p>
            <w:pPr>
              <w:spacing w:after="40"/>
            </w:pPr>
            <w:r>
              <w:rPr>
                <w:sz w:val="18"/>
              </w:rPr>
            </w:r>
          </w:p>
        </w:tc>
      </w:tr>
      <w:tr>
        <w:tc>
          <w:tcPr>
            <w:tcW w:type="dxa" w:w="4706"/>
          </w:tcPr>
          <w:p>
            <w:pPr>
              <w:spacing w:after="40"/>
            </w:pPr>
            <w:r>
              <w:rPr>
                <w:sz w:val="18"/>
              </w:rPr>
            </w:r>
            <w:r>
              <w:rPr>
                <w:sz w:val="18"/>
              </w:rPr>
              <w:t>Not started, planned for next period</w:t>
            </w:r>
          </w:p>
        </w:tc>
        <w:tc>
          <w:tcPr>
            <w:tcW w:type="dxa" w:w="4706"/>
          </w:tcPr>
          <w:p>
            <w:pPr>
              <w:spacing w:after="40"/>
            </w:pPr>
            <w:r>
              <w:rPr>
                <w:sz w:val="18"/>
              </w:rPr>
            </w:r>
          </w:p>
        </w:tc>
      </w:tr>
    </w:tbl>
    <w:p>
      <w:pPr>
        <w:spacing w:after="40"/>
      </w:pPr>
    </w:p>
    <w:p>
      <w:r>
        <w:rPr>
          <w:b/>
        </w:rPr>
        <w:t>Measured by accepted work, not effort spent.</w:t>
      </w:r>
      <w:r>
        <w:t xml:space="preserve"> Effort spent is a measure of activity; accepted work is a measure of progress, and only one of them predicts a delivery date.</w:t>
      </w:r>
    </w:p>
    <w:p>
      <w:r>
        <w:rPr>
          <w:b/>
        </w:rPr>
        <w:t>Anything claimed "90% done" for more than two weeks:</w:t>
      </w:r>
      <w:r>
        <w:t xml:space="preserve"> _______________</w:t>
      </w:r>
    </w:p>
    <w:p>
      <w:pPr>
        <w:pStyle w:val="Heading1"/>
      </w:pPr>
      <w:r>
        <w:t>3. What changed</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Change</w:t>
            </w:r>
          </w:p>
        </w:tc>
        <w:tc>
          <w:tcPr>
            <w:tcW w:type="dxa" w:w="2353"/>
            <w:shd w:val="clear" w:color="auto" w:fill="F1EAFE"/>
          </w:tcPr>
          <w:p>
            <w:pPr>
              <w:spacing w:after="40"/>
            </w:pPr>
            <w:r>
              <w:rPr>
                <w:b/>
                <w:sz w:val="18"/>
              </w:rPr>
            </w:r>
            <w:r>
              <w:rPr>
                <w:b/>
                <w:sz w:val="18"/>
              </w:rPr>
              <w:t>Impact on date</w:t>
            </w:r>
          </w:p>
        </w:tc>
        <w:tc>
          <w:tcPr>
            <w:tcW w:type="dxa" w:w="2353"/>
            <w:shd w:val="clear" w:color="auto" w:fill="F1EAFE"/>
          </w:tcPr>
          <w:p>
            <w:pPr>
              <w:spacing w:after="40"/>
            </w:pPr>
            <w:r>
              <w:rPr>
                <w:b/>
                <w:sz w:val="18"/>
              </w:rPr>
            </w:r>
            <w:r>
              <w:rPr>
                <w:b/>
                <w:sz w:val="18"/>
              </w:rPr>
              <w:t>Impact on cost</w:t>
            </w:r>
          </w:p>
        </w:tc>
        <w:tc>
          <w:tcPr>
            <w:tcW w:type="dxa" w:w="2353"/>
            <w:shd w:val="clear" w:color="auto" w:fill="F1EAFE"/>
          </w:tcPr>
          <w:p>
            <w:pPr>
              <w:spacing w:after="40"/>
            </w:pPr>
            <w:r>
              <w:rPr>
                <w:b/>
                <w:sz w:val="18"/>
              </w:rPr>
            </w:r>
            <w:r>
              <w:rPr>
                <w:b/>
                <w:sz w:val="18"/>
              </w:rPr>
              <w:t>Approved by</w:t>
            </w:r>
          </w:p>
        </w:tc>
      </w:tr>
    </w:tbl>
    <w:p>
      <w:pPr>
        <w:spacing w:after="40"/>
      </w:pPr>
    </w:p>
    <w:p>
      <w:r>
        <w:rPr>
          <w:b/>
        </w:rPr>
        <w:t>Cumulative since baseline:</w:t>
      </w:r>
      <w:r>
        <w:t xml:space="preserve"> schedule ____, cost ____</w:t>
      </w:r>
    </w:p>
    <w:p>
      <w:r>
        <w:t>The cumulative row is the one that matters and the one nobody volunteers. Fifteen individually reasonable changes have added eleven weeks; each was assessed alone.</w:t>
      </w:r>
    </w:p>
    <w:p>
      <w:pPr>
        <w:pStyle w:val="Heading1"/>
      </w:pPr>
      <w:r>
        <w:t>4. Blocked</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What</w:t>
            </w:r>
          </w:p>
        </w:tc>
        <w:tc>
          <w:tcPr>
            <w:tcW w:type="dxa" w:w="1882"/>
            <w:shd w:val="clear" w:color="auto" w:fill="F1EAFE"/>
          </w:tcPr>
          <w:p>
            <w:pPr>
              <w:spacing w:after="40"/>
            </w:pPr>
            <w:r>
              <w:rPr>
                <w:b/>
                <w:sz w:val="18"/>
              </w:rPr>
            </w:r>
            <w:r>
              <w:rPr>
                <w:b/>
                <w:sz w:val="18"/>
              </w:rPr>
              <w:t>Blocked since</w:t>
            </w:r>
          </w:p>
        </w:tc>
        <w:tc>
          <w:tcPr>
            <w:tcW w:type="dxa" w:w="1882"/>
            <w:shd w:val="clear" w:color="auto" w:fill="F1EAFE"/>
          </w:tcPr>
          <w:p>
            <w:pPr>
              <w:spacing w:after="40"/>
            </w:pPr>
            <w:r>
              <w:rPr>
                <w:b/>
                <w:sz w:val="18"/>
              </w:rPr>
            </w:r>
            <w:r>
              <w:rPr>
                <w:b/>
                <w:sz w:val="18"/>
              </w:rPr>
              <w:t>Waiting on</w:t>
            </w:r>
          </w:p>
        </w:tc>
        <w:tc>
          <w:tcPr>
            <w:tcW w:type="dxa" w:w="1882"/>
            <w:shd w:val="clear" w:color="auto" w:fill="F1EAFE"/>
          </w:tcPr>
          <w:p>
            <w:pPr>
              <w:spacing w:after="40"/>
            </w:pPr>
            <w:r>
              <w:rPr>
                <w:b/>
                <w:sz w:val="18"/>
              </w:rPr>
            </w:r>
            <w:r>
              <w:rPr>
                <w:b/>
                <w:sz w:val="18"/>
              </w:rPr>
              <w:t>Chased</w:t>
            </w:r>
          </w:p>
        </w:tc>
        <w:tc>
          <w:tcPr>
            <w:tcW w:type="dxa" w:w="1882"/>
            <w:shd w:val="clear" w:color="auto" w:fill="F1EAFE"/>
          </w:tcPr>
          <w:p>
            <w:pPr>
              <w:spacing w:after="40"/>
            </w:pPr>
            <w:r>
              <w:rPr>
                <w:b/>
                <w:sz w:val="18"/>
              </w:rPr>
            </w:r>
            <w:r>
              <w:rPr>
                <w:b/>
                <w:sz w:val="18"/>
              </w:rPr>
              <w:t>Escalate?</w:t>
            </w:r>
          </w:p>
        </w:tc>
      </w:tr>
    </w:tbl>
    <w:p>
      <w:pPr>
        <w:spacing w:after="40"/>
      </w:pPr>
    </w:p>
    <w:p>
      <w:r>
        <w:rPr>
          <w:b/>
        </w:rPr>
        <w:t>Oldest blocker: ____ days.</w:t>
      </w:r>
      <w:r>
        <w:t xml:space="preserve"> </w:t>
      </w:r>
      <w:r>
        <w:rPr>
          <w:b/>
        </w:rPr>
        <w:t>Average time to get a decision this period: ____</w:t>
      </w:r>
    </w:p>
    <w:p>
      <w:r>
        <w:t>Delay lives in queues rather than in the work. If the team waits a week for decisions, no delivery improvement changes the outcome, and this table is where that becomes visible to the person who can fix it.</w:t>
      </w:r>
    </w:p>
    <w:p>
      <w:pPr>
        <w:pStyle w:val="Heading1"/>
      </w:pPr>
      <w:r>
        <w:t>5. Risks that moved</w:t>
      </w:r>
    </w:p>
    <w:p>
      <w:r>
        <w:t xml:space="preserve">Only the ones that changed. A full register read-out belongs in the </w:t>
      </w:r>
      <w:r>
        <w:rPr>
          <w:color w:val="7C3AED"/>
          <w:u w:val="single"/>
        </w:rPr>
        <w:t>risk register</w:t>
      </w:r>
      <w:r>
        <w:rPr>
          <w:sz w:val="17"/>
        </w:rPr>
        <w:t xml:space="preserve"> (bvlogic.com/pmo/risk-register/)</w:t>
      </w:r>
      <w:r>
        <w:t>, not here.</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Risk</w:t>
            </w:r>
          </w:p>
        </w:tc>
        <w:tc>
          <w:tcPr>
            <w:tcW w:type="dxa" w:w="1882"/>
            <w:shd w:val="clear" w:color="auto" w:fill="F1EAFE"/>
          </w:tcPr>
          <w:p>
            <w:pPr>
              <w:spacing w:after="40"/>
            </w:pPr>
            <w:r>
              <w:rPr>
                <w:b/>
                <w:sz w:val="18"/>
              </w:rPr>
            </w:r>
            <w:r>
              <w:rPr>
                <w:b/>
                <w:sz w:val="18"/>
              </w:rPr>
              <w:t>Was</w:t>
            </w:r>
          </w:p>
        </w:tc>
        <w:tc>
          <w:tcPr>
            <w:tcW w:type="dxa" w:w="1882"/>
            <w:shd w:val="clear" w:color="auto" w:fill="F1EAFE"/>
          </w:tcPr>
          <w:p>
            <w:pPr>
              <w:spacing w:after="40"/>
            </w:pPr>
            <w:r>
              <w:rPr>
                <w:b/>
                <w:sz w:val="18"/>
              </w:rPr>
            </w:r>
            <w:r>
              <w:rPr>
                <w:b/>
                <w:sz w:val="18"/>
              </w:rPr>
              <w:t>Now</w:t>
            </w:r>
          </w:p>
        </w:tc>
        <w:tc>
          <w:tcPr>
            <w:tcW w:type="dxa" w:w="1882"/>
            <w:shd w:val="clear" w:color="auto" w:fill="F1EAFE"/>
          </w:tcPr>
          <w:p>
            <w:pPr>
              <w:spacing w:after="40"/>
            </w:pPr>
            <w:r>
              <w:rPr>
                <w:b/>
                <w:sz w:val="18"/>
              </w:rPr>
            </w:r>
            <w:r>
              <w:rPr>
                <w:b/>
                <w:sz w:val="18"/>
              </w:rPr>
              <w:t>Why</w:t>
            </w:r>
          </w:p>
        </w:tc>
        <w:tc>
          <w:tcPr>
            <w:tcW w:type="dxa" w:w="1882"/>
            <w:shd w:val="clear" w:color="auto" w:fill="F1EAFE"/>
          </w:tcPr>
          <w:p>
            <w:pPr>
              <w:spacing w:after="40"/>
            </w:pPr>
            <w:r>
              <w:rPr>
                <w:b/>
                <w:sz w:val="18"/>
              </w:rPr>
            </w:r>
            <w:r>
              <w:rPr>
                <w:b/>
                <w:sz w:val="18"/>
              </w:rPr>
              <w:t>Action</w:t>
            </w:r>
          </w:p>
        </w:tc>
      </w:tr>
    </w:tbl>
    <w:p>
      <w:pPr>
        <w:spacing w:after="40"/>
      </w:pPr>
    </w:p>
    <w:p>
      <w:r>
        <w:rPr>
          <w:b/>
        </w:rPr>
        <w:t>Overdue mitigations:</w:t>
      </w:r>
      <w:r>
        <w:t xml:space="preserve"> ____</w:t>
      </w:r>
    </w:p>
    <w:p>
      <w:pPr>
        <w:pStyle w:val="Heading1"/>
      </w:pPr>
      <w:r>
        <w:t>6. Quality signals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Open defects, by severity</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Trend, rising or falling as we approach the end</w:t>
            </w:r>
          </w:p>
        </w:tc>
        <w:tc>
          <w:tcPr>
            <w:tcW w:type="dxa" w:w="4706"/>
          </w:tcPr>
          <w:p>
            <w:pPr>
              <w:spacing w:after="40"/>
            </w:pPr>
            <w:r>
              <w:rPr>
                <w:sz w:val="18"/>
              </w:rPr>
            </w:r>
          </w:p>
        </w:tc>
      </w:tr>
      <w:tr>
        <w:tc>
          <w:tcPr>
            <w:tcW w:type="dxa" w:w="4706"/>
          </w:tcPr>
          <w:p>
            <w:pPr>
              <w:spacing w:after="40"/>
            </w:pPr>
            <w:r>
              <w:rPr>
                <w:sz w:val="18"/>
              </w:rPr>
            </w:r>
            <w:r>
              <w:rPr>
                <w:sz w:val="18"/>
              </w:rPr>
              <w:t>Anything substantial still untested</w:t>
            </w:r>
          </w:p>
        </w:tc>
        <w:tc>
          <w:tcPr>
            <w:tcW w:type="dxa" w:w="4706"/>
          </w:tcPr>
          <w:p>
            <w:pPr>
              <w:spacing w:after="40"/>
            </w:pPr>
            <w:r>
              <w:rPr>
                <w:sz w:val="18"/>
              </w:rPr>
            </w:r>
          </w:p>
        </w:tc>
      </w:tr>
      <w:tr>
        <w:tc>
          <w:tcPr>
            <w:tcW w:type="dxa" w:w="4706"/>
          </w:tcPr>
          <w:p>
            <w:pPr>
              <w:spacing w:after="40"/>
            </w:pPr>
            <w:r>
              <w:rPr>
                <w:sz w:val="18"/>
              </w:rPr>
            </w:r>
            <w:r>
              <w:rPr>
                <w:sz w:val="18"/>
              </w:rPr>
              <w:t>Non-functional requirements tested?</w:t>
            </w:r>
          </w:p>
        </w:tc>
        <w:tc>
          <w:tcPr>
            <w:tcW w:type="dxa" w:w="4706"/>
          </w:tcPr>
          <w:p>
            <w:pPr>
              <w:spacing w:after="40"/>
            </w:pPr>
            <w:r>
              <w:rPr>
                <w:sz w:val="18"/>
              </w:rPr>
            </w:r>
            <w:r>
              <w:rPr>
                <w:sz w:val="18"/>
              </w:rPr>
              <w:t>yes / no</w:t>
            </w:r>
          </w:p>
        </w:tc>
      </w:tr>
    </w:tbl>
    <w:p>
      <w:pPr>
        <w:spacing w:after="40"/>
      </w:pPr>
    </w:p>
    <w:p>
      <w:r>
        <w:t>Defects rising as the end approaches, or a large untested area, are the two most reliable predictors of a late finish. They belong in the report before they are a crisis.</w:t>
      </w:r>
    </w:p>
    <w:p>
      <w:pPr>
        <w:pStyle w:val="Heading1"/>
      </w:pPr>
      <w:r>
        <w:t>7. Decision needed this week</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w:t>
            </w:r>
          </w:p>
        </w:tc>
        <w:tc>
          <w:tcPr>
            <w:tcW w:type="dxa" w:w="1882"/>
            <w:shd w:val="clear" w:color="auto" w:fill="F1EAFE"/>
          </w:tcPr>
          <w:p>
            <w:pPr>
              <w:spacing w:after="40"/>
            </w:pPr>
            <w:r>
              <w:rPr>
                <w:b/>
                <w:sz w:val="18"/>
              </w:rPr>
            </w:r>
            <w:r>
              <w:rPr>
                <w:b/>
                <w:sz w:val="18"/>
              </w:rPr>
              <w:t>Decision</w:t>
            </w:r>
          </w:p>
        </w:tc>
        <w:tc>
          <w:tcPr>
            <w:tcW w:type="dxa" w:w="1882"/>
            <w:shd w:val="clear" w:color="auto" w:fill="F1EAFE"/>
          </w:tcPr>
          <w:p>
            <w:pPr>
              <w:spacing w:after="40"/>
            </w:pPr>
            <w:r>
              <w:rPr>
                <w:b/>
                <w:sz w:val="18"/>
              </w:rPr>
            </w:r>
            <w:r>
              <w:rPr>
                <w:b/>
                <w:sz w:val="18"/>
              </w:rPr>
              <w:t>Who decides</w:t>
            </w:r>
          </w:p>
        </w:tc>
        <w:tc>
          <w:tcPr>
            <w:tcW w:type="dxa" w:w="1882"/>
            <w:shd w:val="clear" w:color="auto" w:fill="F1EAFE"/>
          </w:tcPr>
          <w:p>
            <w:pPr>
              <w:spacing w:after="40"/>
            </w:pPr>
            <w:r>
              <w:rPr>
                <w:b/>
                <w:sz w:val="18"/>
              </w:rPr>
            </w:r>
            <w:r>
              <w:rPr>
                <w:b/>
                <w:sz w:val="18"/>
              </w:rPr>
              <w:t>By when</w:t>
            </w:r>
          </w:p>
        </w:tc>
        <w:tc>
          <w:tcPr>
            <w:tcW w:type="dxa" w:w="1882"/>
            <w:shd w:val="clear" w:color="auto" w:fill="F1EAFE"/>
          </w:tcPr>
          <w:p>
            <w:pPr>
              <w:spacing w:after="40"/>
            </w:pPr>
            <w:r>
              <w:rPr>
                <w:b/>
                <w:sz w:val="18"/>
              </w:rPr>
            </w:r>
            <w:r>
              <w:rPr>
                <w:b/>
                <w:sz w:val="18"/>
              </w:rPr>
              <w:t>Cost of not deciding</w:t>
            </w:r>
          </w:p>
        </w:tc>
      </w:tr>
      <w:tr>
        <w:tc>
          <w:tcPr>
            <w:tcW w:type="dxa" w:w="1882"/>
          </w:tcPr>
          <w:p>
            <w:pPr>
              <w:spacing w:after="40"/>
            </w:pPr>
            <w:r>
              <w:rPr>
                <w:sz w:val="18"/>
              </w:rPr>
            </w:r>
            <w:r>
              <w:rPr>
                <w:sz w:val="18"/>
              </w:rPr>
              <w:t>1</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p>
      <w:r>
        <w:t>The last column converts a request into a consequence, which is what turns an unread item into a decision.</w:t>
      </w:r>
    </w:p>
    <w:p>
      <w:r>
        <w:rPr>
          <w:b/>
        </w:rPr>
        <w:t>If there is nothing here, say so explicitly.</w:t>
      </w:r>
      <w:r>
        <w:t xml:space="preserve"> A report that never asks for anything trains the sponsor to skim it.</w:t>
      </w:r>
    </w:p>
    <w:p>
      <w:pPr>
        <w:pStyle w:val="Heading1"/>
      </w:pPr>
      <w:r>
        <w:t>8. Next period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Commitment</w:t>
            </w:r>
          </w:p>
        </w:tc>
        <w:tc>
          <w:tcPr>
            <w:tcW w:type="dxa" w:w="3137"/>
            <w:shd w:val="clear" w:color="auto" w:fill="F1EAFE"/>
          </w:tcPr>
          <w:p>
            <w:pPr>
              <w:spacing w:after="40"/>
            </w:pPr>
            <w:r>
              <w:rPr>
                <w:b/>
                <w:sz w:val="18"/>
              </w:rPr>
            </w:r>
            <w:r>
              <w:rPr>
                <w:b/>
                <w:sz w:val="18"/>
              </w:rPr>
              <w:t>Owner</w:t>
            </w:r>
          </w:p>
        </w:tc>
        <w:tc>
          <w:tcPr>
            <w:tcW w:type="dxa" w:w="3137"/>
            <w:shd w:val="clear" w:color="auto" w:fill="F1EAFE"/>
          </w:tcPr>
          <w:p>
            <w:pPr>
              <w:spacing w:after="40"/>
            </w:pPr>
            <w:r>
              <w:rPr>
                <w:b/>
                <w:sz w:val="18"/>
              </w:rPr>
            </w:r>
            <w:r>
              <w:rPr>
                <w:b/>
                <w:sz w:val="18"/>
              </w:rPr>
              <w:t>Confidence</w:t>
            </w:r>
          </w:p>
        </w:tc>
      </w:tr>
      <w:tr>
        <w:tc>
          <w:tcPr>
            <w:tcW w:type="dxa" w:w="3137"/>
          </w:tcPr>
          <w:p>
            <w:pPr>
              <w:spacing w:after="40"/>
            </w:pPr>
            <w:r>
              <w:rPr>
                <w:sz w:val="18"/>
              </w:rPr>
            </w:r>
          </w:p>
        </w:tc>
        <w:tc>
          <w:tcPr>
            <w:tcW w:type="dxa" w:w="3137"/>
          </w:tcPr>
          <w:p>
            <w:pPr>
              <w:spacing w:after="40"/>
            </w:pPr>
            <w:r>
              <w:rPr>
                <w:sz w:val="18"/>
              </w:rPr>
            </w:r>
          </w:p>
        </w:tc>
        <w:tc>
          <w:tcPr>
            <w:tcW w:type="dxa" w:w="3137"/>
          </w:tcPr>
          <w:p>
            <w:pPr>
              <w:spacing w:after="40"/>
            </w:pPr>
            <w:r>
              <w:rPr>
                <w:sz w:val="18"/>
              </w:rPr>
            </w:r>
            <w:r>
              <w:rPr>
                <w:sz w:val="18"/>
              </w:rPr>
              <w:t>high / medium / low</w:t>
            </w:r>
          </w:p>
        </w:tc>
      </w:tr>
    </w:tbl>
    <w:p>
      <w:pPr>
        <w:spacing w:after="40"/>
      </w:pPr>
    </w:p>
    <w:p>
      <w:r>
        <w:t>---</w:t>
      </w:r>
    </w:p>
    <w:p>
      <w:r>
        <w:rPr>
          <w:b/>
        </w:rPr>
        <w:t>Written for people who will read one page.</w:t>
      </w:r>
      <w:r>
        <w:t xml:space="preserve"> Anything requiring more detail goes in an appendix nobody is obliged to open, and if the appendix is where the real news is, this report has failed at its only job.</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Status Report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Report</dc:title>
  <dc:subject/>
  <dc:creator>BvLogic</dc:creator>
  <cp:keywords>BvLogic, Template, enterprise AI, Status Report</cp:keywords>
  <dc:description/>
  <cp:lastModifiedBy/>
  <cp:revision>1</cp:revision>
  <dcterms:created xsi:type="dcterms:W3CDTF">2013-12-23T23:15:00Z</dcterms:created>
  <dcterms:modified xsi:type="dcterms:W3CDTF">2013-12-23T23:15:00Z</dcterms:modified>
  <cp:category>Template</cp:category>
  <dc:language>en-GB</dc:language>
</cp:coreProperties>
</file>