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Project Status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BVL-54D386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project and figures are composed to show what honest</w:t>
      </w:r>
    </w:p>
    <w:p>
      <w:pPr>
        <w:ind w:left="454"/>
        <w:shd w:val="clear" w:color="auto" w:fill="FAFAFB"/>
      </w:pPr>
      <w:r>
        <w:rPr>
          <w:i/>
        </w:rPr>
        <w:t>reporting looks like when the news is bad, not drawn from a named engagement.</w:t>
      </w:r>
    </w:p>
    <w:p>
      <w:r>
        <w:rPr>
          <w:b/>
        </w:rPr>
        <w:t>Project:</w:t>
      </w:r>
      <w:r>
        <w:t xml:space="preserve"> Customer portal replacement </w:t>
      </w:r>
      <w:r>
        <w:rPr>
          <w:b/>
        </w:rPr>
        <w:t>Period:</w:t>
      </w:r>
      <w:r>
        <w:t xml:space="preserve"> Month 8 of 12  </w:t>
      </w:r>
      <w:r>
        <w:rPr>
          <w:b/>
        </w:rPr>
        <w:t>Prepared by:</w:t>
      </w:r>
      <w:r>
        <w:t xml:space="preserve"> Delivery manager  </w:t>
      </w:r>
      <w:r>
        <w:rPr>
          <w:b/>
        </w:rPr>
        <w:t>For:</w:t>
      </w:r>
      <w:r>
        <w:t xml:space="preserve"> Sponsor</w:t>
      </w:r>
    </w:p>
    <w:p>
      <w:pPr>
        <w:pStyle w:val="Heading1"/>
      </w:pPr>
      <w:r>
        <w:t>1. The headline</w:t>
      </w:r>
    </w:p>
    <w:p>
      <w:r>
        <w:rPr>
          <w:b/>
        </w:rPr>
        <w:t>Would I personally bet on the current end date?</w:t>
      </w:r>
      <w:r>
        <w:t xml:space="preserve"> </w:t>
      </w:r>
      <w:r>
        <w:rPr>
          <w:b/>
        </w:rPr>
        <w:t>No.</w:t>
      </w:r>
    </w:p>
    <w:p>
      <w:r>
        <w:rPr>
          <w:b/>
        </w:rPr>
        <w:t>By how much:</w:t>
      </w:r>
      <w:r>
        <w:t xml:space="preserve"> 6 to 9 weeks, on current scope.</w:t>
      </w:r>
    </w:p>
    <w:p>
      <w:r>
        <w:rPr>
          <w:b/>
        </w:rPr>
        <w:t>Since when did I know:</w:t>
      </w:r>
      <w:r>
        <w:t xml:space="preserve"> the trend has been visible for around six weeks. I am reporting it now having confirmed it against the numbers below rather than raising it as a feeling.</w:t>
      </w:r>
    </w:p>
    <w:p>
      <w:pPr>
        <w:pStyle w:val="Heading1"/>
      </w:pPr>
      <w:r>
        <w:t>2. Progress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Timeline elapsed</w:t>
            </w:r>
          </w:p>
        </w:tc>
        <w:tc>
          <w:tcPr>
            <w:tcW w:type="dxa" w:w="4706"/>
            <w:shd w:val="clear" w:color="auto" w:fill="F1EAFE"/>
          </w:tcPr>
          <w:p>
            <w:pPr>
              <w:spacing w:after="40"/>
            </w:pPr>
            <w:r>
              <w:rPr>
                <w:b/>
                <w:sz w:val="18"/>
              </w:rPr>
            </w:r>
            <w:r>
              <w:rPr>
                <w:b/>
                <w:sz w:val="18"/>
              </w:rPr>
              <w:t>70%</w:t>
            </w:r>
          </w:p>
        </w:tc>
      </w:tr>
      <w:tr>
        <w:tc>
          <w:tcPr>
            <w:tcW w:type="dxa" w:w="4706"/>
          </w:tcPr>
          <w:p>
            <w:pPr>
              <w:spacing w:after="40"/>
            </w:pPr>
            <w:r>
              <w:rPr>
                <w:sz w:val="18"/>
              </w:rPr>
            </w:r>
            <w:r>
              <w:rPr>
                <w:sz w:val="18"/>
              </w:rPr>
              <w:t>Budget consumed</w:t>
            </w:r>
          </w:p>
        </w:tc>
        <w:tc>
          <w:tcPr>
            <w:tcW w:type="dxa" w:w="4706"/>
          </w:tcPr>
          <w:p>
            <w:pPr>
              <w:spacing w:after="40"/>
            </w:pPr>
            <w:r>
              <w:rPr>
                <w:sz w:val="18"/>
              </w:rPr>
            </w:r>
            <w:r>
              <w:rPr>
                <w:sz w:val="18"/>
              </w:rPr>
              <w:t>68%</w:t>
            </w:r>
          </w:p>
        </w:tc>
      </w:tr>
      <w:tr>
        <w:tc>
          <w:tcPr>
            <w:tcW w:type="dxa" w:w="4706"/>
          </w:tcPr>
          <w:p>
            <w:pPr>
              <w:spacing w:after="40"/>
            </w:pPr>
            <w:r>
              <w:rPr>
                <w:sz w:val="18"/>
              </w:rPr>
            </w:r>
            <w:r>
              <w:rPr>
                <w:b/>
                <w:sz w:val="18"/>
              </w:rPr>
              <w:t>Scope completed and accepted</w:t>
            </w:r>
          </w:p>
        </w:tc>
        <w:tc>
          <w:tcPr>
            <w:tcW w:type="dxa" w:w="4706"/>
          </w:tcPr>
          <w:p>
            <w:pPr>
              <w:spacing w:after="40"/>
            </w:pPr>
            <w:r>
              <w:rPr>
                <w:sz w:val="18"/>
              </w:rPr>
            </w:r>
            <w:r>
              <w:rPr>
                <w:b/>
                <w:sz w:val="18"/>
              </w:rPr>
              <w:t>41%</w:t>
            </w:r>
          </w:p>
        </w:tc>
      </w:tr>
    </w:tbl>
    <w:p>
      <w:pPr>
        <w:spacing w:after="40"/>
      </w:pPr>
    </w:p>
    <w:p>
      <w:r>
        <w:t>The first two numbers have been reported for eight months and are reassuring. The third has not been tracked until this period, and it is the one that predicts the end date.</w:t>
      </w:r>
    </w:p>
    <w:p>
      <w:r>
        <w:t xml:space="preserve">Claimed "90% done" for more than two weeks: </w:t>
      </w:r>
      <w:r>
        <w:rPr>
          <w:b/>
        </w:rPr>
        <w:t>3 items</w:t>
      </w:r>
      <w:r>
        <w:t xml:space="preserve"> (payments integration, notification service, admin permissions).</w:t>
      </w:r>
    </w:p>
    <w:p>
      <w:pPr>
        <w:pStyle w:val="Heading1"/>
      </w:pPr>
      <w:r>
        <w:t>3. What changed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Period</w:t>
            </w:r>
          </w:p>
        </w:tc>
        <w:tc>
          <w:tcPr>
            <w:tcW w:type="dxa" w:w="3137"/>
            <w:shd w:val="clear" w:color="auto" w:fill="F1EAFE"/>
          </w:tcPr>
          <w:p>
            <w:pPr>
              <w:spacing w:after="40"/>
            </w:pPr>
            <w:r>
              <w:rPr>
                <w:b/>
                <w:sz w:val="18"/>
              </w:rPr>
            </w:r>
            <w:r>
              <w:rPr>
                <w:b/>
                <w:sz w:val="18"/>
              </w:rPr>
              <w:t>Changes approved</w:t>
            </w:r>
          </w:p>
        </w:tc>
        <w:tc>
          <w:tcPr>
            <w:tcW w:type="dxa" w:w="3137"/>
            <w:shd w:val="clear" w:color="auto" w:fill="F1EAFE"/>
          </w:tcPr>
          <w:p>
            <w:pPr>
              <w:spacing w:after="40"/>
            </w:pPr>
            <w:r>
              <w:rPr>
                <w:b/>
                <w:sz w:val="18"/>
              </w:rPr>
            </w:r>
            <w:r>
              <w:rPr>
                <w:b/>
                <w:sz w:val="18"/>
              </w:rPr>
              <w:t>Schedule impact</w:t>
            </w:r>
          </w:p>
        </w:tc>
      </w:tr>
      <w:tr>
        <w:tc>
          <w:tcPr>
            <w:tcW w:type="dxa" w:w="3137"/>
          </w:tcPr>
          <w:p>
            <w:pPr>
              <w:spacing w:after="40"/>
            </w:pPr>
            <w:r>
              <w:rPr>
                <w:sz w:val="18"/>
              </w:rPr>
            </w:r>
            <w:r>
              <w:rPr>
                <w:sz w:val="18"/>
              </w:rPr>
              <w:t>Months 1 to 3</w:t>
            </w:r>
          </w:p>
        </w:tc>
        <w:tc>
          <w:tcPr>
            <w:tcW w:type="dxa" w:w="3137"/>
          </w:tcPr>
          <w:p>
            <w:pPr>
              <w:spacing w:after="40"/>
            </w:pPr>
            <w:r>
              <w:rPr>
                <w:sz w:val="18"/>
              </w:rPr>
            </w:r>
            <w:r>
              <w:rPr>
                <w:sz w:val="18"/>
              </w:rPr>
              <w:t>4</w:t>
            </w:r>
          </w:p>
        </w:tc>
        <w:tc>
          <w:tcPr>
            <w:tcW w:type="dxa" w:w="3137"/>
          </w:tcPr>
          <w:p>
            <w:pPr>
              <w:spacing w:after="40"/>
            </w:pPr>
            <w:r>
              <w:rPr>
                <w:sz w:val="18"/>
              </w:rPr>
            </w:r>
            <w:r>
              <w:rPr>
                <w:sz w:val="18"/>
              </w:rPr>
              <w:t>+2 weeks</w:t>
            </w:r>
          </w:p>
        </w:tc>
      </w:tr>
      <w:tr>
        <w:tc>
          <w:tcPr>
            <w:tcW w:type="dxa" w:w="3137"/>
          </w:tcPr>
          <w:p>
            <w:pPr>
              <w:spacing w:after="40"/>
            </w:pPr>
            <w:r>
              <w:rPr>
                <w:sz w:val="18"/>
              </w:rPr>
            </w:r>
            <w:r>
              <w:rPr>
                <w:sz w:val="18"/>
              </w:rPr>
              <w:t>Months 4 to 6</w:t>
            </w:r>
          </w:p>
        </w:tc>
        <w:tc>
          <w:tcPr>
            <w:tcW w:type="dxa" w:w="3137"/>
          </w:tcPr>
          <w:p>
            <w:pPr>
              <w:spacing w:after="40"/>
            </w:pPr>
            <w:r>
              <w:rPr>
                <w:sz w:val="18"/>
              </w:rPr>
            </w:r>
            <w:r>
              <w:rPr>
                <w:sz w:val="18"/>
              </w:rPr>
              <w:t>7</w:t>
            </w:r>
          </w:p>
        </w:tc>
        <w:tc>
          <w:tcPr>
            <w:tcW w:type="dxa" w:w="3137"/>
          </w:tcPr>
          <w:p>
            <w:pPr>
              <w:spacing w:after="40"/>
            </w:pPr>
            <w:r>
              <w:rPr>
                <w:sz w:val="18"/>
              </w:rPr>
            </w:r>
            <w:r>
              <w:rPr>
                <w:sz w:val="18"/>
              </w:rPr>
              <w:t>+5 weeks</w:t>
            </w:r>
          </w:p>
        </w:tc>
      </w:tr>
      <w:tr>
        <w:tc>
          <w:tcPr>
            <w:tcW w:type="dxa" w:w="3137"/>
          </w:tcPr>
          <w:p>
            <w:pPr>
              <w:spacing w:after="40"/>
            </w:pPr>
            <w:r>
              <w:rPr>
                <w:sz w:val="18"/>
              </w:rPr>
            </w:r>
            <w:r>
              <w:rPr>
                <w:sz w:val="18"/>
              </w:rPr>
              <w:t>Months 7 to 8</w:t>
            </w:r>
          </w:p>
        </w:tc>
        <w:tc>
          <w:tcPr>
            <w:tcW w:type="dxa" w:w="3137"/>
          </w:tcPr>
          <w:p>
            <w:pPr>
              <w:spacing w:after="40"/>
            </w:pPr>
            <w:r>
              <w:rPr>
                <w:sz w:val="18"/>
              </w:rPr>
            </w:r>
            <w:r>
              <w:rPr>
                <w:sz w:val="18"/>
              </w:rPr>
              <w:t>3</w:t>
            </w:r>
          </w:p>
        </w:tc>
        <w:tc>
          <w:tcPr>
            <w:tcW w:type="dxa" w:w="3137"/>
          </w:tcPr>
          <w:p>
            <w:pPr>
              <w:spacing w:after="40"/>
            </w:pPr>
            <w:r>
              <w:rPr>
                <w:sz w:val="18"/>
              </w:rPr>
            </w:r>
            <w:r>
              <w:rPr>
                <w:sz w:val="18"/>
              </w:rPr>
              <w:t>+2 weeks</w:t>
            </w:r>
          </w:p>
        </w:tc>
      </w:tr>
      <w:tr>
        <w:tc>
          <w:tcPr>
            <w:tcW w:type="dxa" w:w="3137"/>
          </w:tcPr>
          <w:p>
            <w:pPr>
              <w:spacing w:after="40"/>
            </w:pPr>
            <w:r>
              <w:rPr>
                <w:sz w:val="18"/>
              </w:rPr>
            </w:r>
            <w:r>
              <w:rPr>
                <w:b/>
                <w:sz w:val="18"/>
              </w:rPr>
              <w:t>Cumulative</w:t>
            </w:r>
          </w:p>
        </w:tc>
        <w:tc>
          <w:tcPr>
            <w:tcW w:type="dxa" w:w="3137"/>
          </w:tcPr>
          <w:p>
            <w:pPr>
              <w:spacing w:after="40"/>
            </w:pPr>
            <w:r>
              <w:rPr>
                <w:sz w:val="18"/>
              </w:rPr>
            </w:r>
            <w:r>
              <w:rPr>
                <w:b/>
                <w:sz w:val="18"/>
              </w:rPr>
              <w:t>14</w:t>
            </w:r>
          </w:p>
        </w:tc>
        <w:tc>
          <w:tcPr>
            <w:tcW w:type="dxa" w:w="3137"/>
          </w:tcPr>
          <w:p>
            <w:pPr>
              <w:spacing w:after="40"/>
            </w:pPr>
            <w:r>
              <w:rPr>
                <w:sz w:val="18"/>
              </w:rPr>
            </w:r>
            <w:r>
              <w:rPr>
                <w:b/>
                <w:sz w:val="18"/>
              </w:rPr>
              <w:t>+9 weeks</w:t>
            </w:r>
          </w:p>
        </w:tc>
      </w:tr>
    </w:tbl>
    <w:p>
      <w:pPr>
        <w:spacing w:after="40"/>
      </w:pPr>
    </w:p>
    <w:p>
      <w:r>
        <w:t xml:space="preserve">Cost impact cumulative: </w:t>
      </w:r>
      <w:r>
        <w:rPr>
          <w:b/>
        </w:rPr>
        <w:t>+£142,000</w:t>
      </w:r>
      <w:r>
        <w:t xml:space="preserve">. Scope removed to absorb any of it: </w:t>
      </w:r>
      <w:r>
        <w:rPr>
          <w:b/>
        </w:rPr>
        <w:t>none</w:t>
      </w:r>
      <w:r>
        <w:t>.</w:t>
      </w:r>
    </w:p>
    <w:p>
      <w:r>
        <w:t>Each change was assessed and approved individually and each was reasonable. This is the first time they have been added up.</w:t>
      </w:r>
    </w:p>
    <w:p>
      <w:pPr>
        <w:pStyle w:val="Heading1"/>
      </w:pPr>
      <w:r>
        <w:t>4. Blocked</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What</w:t>
            </w:r>
          </w:p>
        </w:tc>
        <w:tc>
          <w:tcPr>
            <w:tcW w:type="dxa" w:w="2353"/>
            <w:shd w:val="clear" w:color="auto" w:fill="F1EAFE"/>
          </w:tcPr>
          <w:p>
            <w:pPr>
              <w:spacing w:after="40"/>
            </w:pPr>
            <w:r>
              <w:rPr>
                <w:b/>
                <w:sz w:val="18"/>
              </w:rPr>
            </w:r>
            <w:r>
              <w:rPr>
                <w:b/>
                <w:sz w:val="18"/>
              </w:rPr>
              <w:t>Blocked since</w:t>
            </w:r>
          </w:p>
        </w:tc>
        <w:tc>
          <w:tcPr>
            <w:tcW w:type="dxa" w:w="2353"/>
            <w:shd w:val="clear" w:color="auto" w:fill="F1EAFE"/>
          </w:tcPr>
          <w:p>
            <w:pPr>
              <w:spacing w:after="40"/>
            </w:pPr>
            <w:r>
              <w:rPr>
                <w:b/>
                <w:sz w:val="18"/>
              </w:rPr>
            </w:r>
            <w:r>
              <w:rPr>
                <w:b/>
                <w:sz w:val="18"/>
              </w:rPr>
              <w:t>Waiting on</w:t>
            </w:r>
          </w:p>
        </w:tc>
        <w:tc>
          <w:tcPr>
            <w:tcW w:type="dxa" w:w="2353"/>
            <w:shd w:val="clear" w:color="auto" w:fill="F1EAFE"/>
          </w:tcPr>
          <w:p>
            <w:pPr>
              <w:spacing w:after="40"/>
            </w:pPr>
            <w:r>
              <w:rPr>
                <w:b/>
                <w:sz w:val="18"/>
              </w:rPr>
            </w:r>
            <w:r>
              <w:rPr>
                <w:b/>
                <w:sz w:val="18"/>
              </w:rPr>
              <w:t>Escalate?</w:t>
            </w:r>
          </w:p>
        </w:tc>
      </w:tr>
      <w:tr>
        <w:tc>
          <w:tcPr>
            <w:tcW w:type="dxa" w:w="2353"/>
          </w:tcPr>
          <w:p>
            <w:pPr>
              <w:spacing w:after="40"/>
            </w:pPr>
            <w:r>
              <w:rPr>
                <w:sz w:val="18"/>
              </w:rPr>
            </w:r>
            <w:r>
              <w:rPr>
                <w:sz w:val="18"/>
              </w:rPr>
              <w:t>Payments integration</w:t>
            </w:r>
          </w:p>
        </w:tc>
        <w:tc>
          <w:tcPr>
            <w:tcW w:type="dxa" w:w="2353"/>
          </w:tcPr>
          <w:p>
            <w:pPr>
              <w:spacing w:after="40"/>
            </w:pPr>
            <w:r>
              <w:rPr>
                <w:sz w:val="18"/>
              </w:rPr>
            </w:r>
            <w:r>
              <w:rPr>
                <w:sz w:val="18"/>
              </w:rPr>
              <w:t>61 days</w:t>
            </w:r>
          </w:p>
        </w:tc>
        <w:tc>
          <w:tcPr>
            <w:tcW w:type="dxa" w:w="2353"/>
          </w:tcPr>
          <w:p>
            <w:pPr>
              <w:spacing w:after="40"/>
            </w:pPr>
            <w:r>
              <w:rPr>
                <w:sz w:val="18"/>
              </w:rPr>
            </w:r>
            <w:r>
              <w:rPr>
                <w:sz w:val="18"/>
              </w:rPr>
              <w:t>Third-party API contract</w:t>
            </w:r>
          </w:p>
        </w:tc>
        <w:tc>
          <w:tcPr>
            <w:tcW w:type="dxa" w:w="2353"/>
          </w:tcPr>
          <w:p>
            <w:pPr>
              <w:spacing w:after="40"/>
            </w:pPr>
            <w:r>
              <w:rPr>
                <w:sz w:val="18"/>
              </w:rPr>
            </w:r>
            <w:r>
              <w:rPr>
                <w:b/>
                <w:sz w:val="18"/>
              </w:rPr>
              <w:t>yes, needs you</w:t>
            </w:r>
          </w:p>
        </w:tc>
      </w:tr>
      <w:tr>
        <w:tc>
          <w:tcPr>
            <w:tcW w:type="dxa" w:w="2353"/>
          </w:tcPr>
          <w:p>
            <w:pPr>
              <w:spacing w:after="40"/>
            </w:pPr>
            <w:r>
              <w:rPr>
                <w:sz w:val="18"/>
              </w:rPr>
            </w:r>
            <w:r>
              <w:rPr>
                <w:sz w:val="18"/>
              </w:rPr>
              <w:t>SSO configuration</w:t>
            </w:r>
          </w:p>
        </w:tc>
        <w:tc>
          <w:tcPr>
            <w:tcW w:type="dxa" w:w="2353"/>
          </w:tcPr>
          <w:p>
            <w:pPr>
              <w:spacing w:after="40"/>
            </w:pPr>
            <w:r>
              <w:rPr>
                <w:sz w:val="18"/>
              </w:rPr>
            </w:r>
            <w:r>
              <w:rPr>
                <w:sz w:val="18"/>
              </w:rPr>
              <w:t>22 days</w:t>
            </w:r>
          </w:p>
        </w:tc>
        <w:tc>
          <w:tcPr>
            <w:tcW w:type="dxa" w:w="2353"/>
          </w:tcPr>
          <w:p>
            <w:pPr>
              <w:spacing w:after="40"/>
            </w:pPr>
            <w:r>
              <w:rPr>
                <w:sz w:val="18"/>
              </w:rPr>
            </w:r>
            <w:r>
              <w:rPr>
                <w:sz w:val="18"/>
              </w:rPr>
              <w:t>Internal security review</w:t>
            </w:r>
          </w:p>
        </w:tc>
        <w:tc>
          <w:tcPr>
            <w:tcW w:type="dxa" w:w="2353"/>
          </w:tcPr>
          <w:p>
            <w:pPr>
              <w:spacing w:after="40"/>
            </w:pPr>
            <w:r>
              <w:rPr>
                <w:sz w:val="18"/>
              </w:rPr>
            </w:r>
            <w:r>
              <w:rPr>
                <w:sz w:val="18"/>
              </w:rPr>
              <w:t>yes</w:t>
            </w:r>
          </w:p>
        </w:tc>
      </w:tr>
      <w:tr>
        <w:tc>
          <w:tcPr>
            <w:tcW w:type="dxa" w:w="2353"/>
          </w:tcPr>
          <w:p>
            <w:pPr>
              <w:spacing w:after="40"/>
            </w:pPr>
            <w:r>
              <w:rPr>
                <w:sz w:val="18"/>
              </w:rPr>
            </w:r>
            <w:r>
              <w:rPr>
                <w:sz w:val="18"/>
              </w:rPr>
              <w:t>Address lookup licence</w:t>
            </w:r>
          </w:p>
        </w:tc>
        <w:tc>
          <w:tcPr>
            <w:tcW w:type="dxa" w:w="2353"/>
          </w:tcPr>
          <w:p>
            <w:pPr>
              <w:spacing w:after="40"/>
            </w:pPr>
            <w:r>
              <w:rPr>
                <w:sz w:val="18"/>
              </w:rPr>
            </w:r>
            <w:r>
              <w:rPr>
                <w:sz w:val="18"/>
              </w:rPr>
              <w:t>17 days</w:t>
            </w:r>
          </w:p>
        </w:tc>
        <w:tc>
          <w:tcPr>
            <w:tcW w:type="dxa" w:w="2353"/>
          </w:tcPr>
          <w:p>
            <w:pPr>
              <w:spacing w:after="40"/>
            </w:pPr>
            <w:r>
              <w:rPr>
                <w:sz w:val="18"/>
              </w:rPr>
            </w:r>
            <w:r>
              <w:rPr>
                <w:sz w:val="18"/>
              </w:rPr>
              <w:t>Procurement</w:t>
            </w:r>
          </w:p>
        </w:tc>
        <w:tc>
          <w:tcPr>
            <w:tcW w:type="dxa" w:w="2353"/>
          </w:tcPr>
          <w:p>
            <w:pPr>
              <w:spacing w:after="40"/>
            </w:pPr>
            <w:r>
              <w:rPr>
                <w:sz w:val="18"/>
              </w:rPr>
            </w:r>
            <w:r>
              <w:rPr>
                <w:sz w:val="18"/>
              </w:rPr>
              <w:t>yes</w:t>
            </w:r>
          </w:p>
        </w:tc>
      </w:tr>
      <w:tr>
        <w:tc>
          <w:tcPr>
            <w:tcW w:type="dxa" w:w="2353"/>
          </w:tcPr>
          <w:p>
            <w:pPr>
              <w:spacing w:after="40"/>
            </w:pPr>
            <w:r>
              <w:rPr>
                <w:sz w:val="18"/>
              </w:rPr>
            </w:r>
            <w:r>
              <w:rPr>
                <w:sz w:val="18"/>
              </w:rPr>
              <w:t>3 further items</w:t>
            </w:r>
          </w:p>
        </w:tc>
        <w:tc>
          <w:tcPr>
            <w:tcW w:type="dxa" w:w="2353"/>
          </w:tcPr>
          <w:p>
            <w:pPr>
              <w:spacing w:after="40"/>
            </w:pPr>
            <w:r>
              <w:rPr>
                <w:sz w:val="18"/>
              </w:rPr>
            </w:r>
            <w:r>
              <w:rPr>
                <w:sz w:val="18"/>
              </w:rPr>
              <w:t>14 to 19 days</w:t>
            </w:r>
          </w:p>
        </w:tc>
        <w:tc>
          <w:tcPr>
            <w:tcW w:type="dxa" w:w="2353"/>
          </w:tcPr>
          <w:p>
            <w:pPr>
              <w:spacing w:after="40"/>
            </w:pPr>
            <w:r>
              <w:rPr>
                <w:sz w:val="18"/>
              </w:rPr>
            </w:r>
            <w:r>
              <w:rPr>
                <w:sz w:val="18"/>
              </w:rPr>
              <w:t>Various</w:t>
            </w:r>
          </w:p>
        </w:tc>
        <w:tc>
          <w:tcPr>
            <w:tcW w:type="dxa" w:w="2353"/>
          </w:tcPr>
          <w:p>
            <w:pPr>
              <w:spacing w:after="40"/>
            </w:pPr>
            <w:r>
              <w:rPr>
                <w:sz w:val="18"/>
              </w:rPr>
            </w:r>
            <w:r>
              <w:rPr>
                <w:sz w:val="18"/>
              </w:rPr>
              <w:t>monitoring</w:t>
            </w:r>
          </w:p>
        </w:tc>
      </w:tr>
    </w:tbl>
    <w:p>
      <w:pPr>
        <w:spacing w:after="40"/>
      </w:pPr>
    </w:p>
    <w:p>
      <w:r>
        <w:rPr>
          <w:b/>
        </w:rPr>
        <w:t>Average time to obtain a decision this period: 9 days.</w:t>
      </w:r>
    </w:p>
    <w:p>
      <w:r>
        <w:t>The team works in two-week iterations. A nine-day decision means most iterations contain a stall, and the team has adapted by working around blockers rather than escalating them, which is why this has not surfaced in previous reports.</w:t>
      </w:r>
    </w:p>
    <w:p>
      <w:pPr>
        <w:pStyle w:val="Heading1"/>
      </w:pPr>
      <w:r>
        <w:t>5. Quality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Open defects</w:t>
            </w:r>
          </w:p>
        </w:tc>
        <w:tc>
          <w:tcPr>
            <w:tcW w:type="dxa" w:w="4706"/>
            <w:shd w:val="clear" w:color="auto" w:fill="F1EAFE"/>
          </w:tcPr>
          <w:p>
            <w:pPr>
              <w:spacing w:after="40"/>
            </w:pPr>
            <w:r>
              <w:rPr>
                <w:b/>
                <w:sz w:val="18"/>
              </w:rPr>
            </w:r>
            <w:r>
              <w:rPr>
                <w:b/>
                <w:sz w:val="18"/>
              </w:rPr>
              <w:t>34 (4 high, 18 medium, 12 low)</w:t>
            </w:r>
          </w:p>
        </w:tc>
      </w:tr>
      <w:tr>
        <w:tc>
          <w:tcPr>
            <w:tcW w:type="dxa" w:w="4706"/>
          </w:tcPr>
          <w:p>
            <w:pPr>
              <w:spacing w:after="40"/>
            </w:pPr>
            <w:r>
              <w:rPr>
                <w:sz w:val="18"/>
              </w:rPr>
            </w:r>
            <w:r>
              <w:rPr>
                <w:sz w:val="18"/>
              </w:rPr>
              <w:t>Trend</w:t>
            </w:r>
          </w:p>
        </w:tc>
        <w:tc>
          <w:tcPr>
            <w:tcW w:type="dxa" w:w="4706"/>
          </w:tcPr>
          <w:p>
            <w:pPr>
              <w:spacing w:after="40"/>
            </w:pPr>
            <w:r>
              <w:rPr>
                <w:sz w:val="18"/>
              </w:rPr>
            </w:r>
            <w:r>
              <w:rPr>
                <w:sz w:val="18"/>
              </w:rPr>
              <w:t>rising</w:t>
            </w:r>
          </w:p>
        </w:tc>
      </w:tr>
      <w:tr>
        <w:tc>
          <w:tcPr>
            <w:tcW w:type="dxa" w:w="4706"/>
          </w:tcPr>
          <w:p>
            <w:pPr>
              <w:spacing w:after="40"/>
            </w:pPr>
            <w:r>
              <w:rPr>
                <w:sz w:val="18"/>
              </w:rPr>
            </w:r>
            <w:r>
              <w:rPr>
                <w:sz w:val="18"/>
              </w:rPr>
              <w:t>Untested areas</w:t>
            </w:r>
          </w:p>
        </w:tc>
        <w:tc>
          <w:tcPr>
            <w:tcW w:type="dxa" w:w="4706"/>
          </w:tcPr>
          <w:p>
            <w:pPr>
              <w:spacing w:after="40"/>
            </w:pPr>
            <w:r>
              <w:rPr>
                <w:sz w:val="18"/>
              </w:rPr>
            </w:r>
            <w:r>
              <w:rPr>
                <w:sz w:val="18"/>
              </w:rPr>
              <w:t>payments, notifications, reporting</w:t>
            </w:r>
          </w:p>
        </w:tc>
      </w:tr>
      <w:tr>
        <w:tc>
          <w:tcPr>
            <w:tcW w:type="dxa" w:w="4706"/>
          </w:tcPr>
          <w:p>
            <w:pPr>
              <w:spacing w:after="40"/>
            </w:pPr>
            <w:r>
              <w:rPr>
                <w:sz w:val="18"/>
              </w:rPr>
            </w:r>
            <w:r>
              <w:rPr>
                <w:sz w:val="18"/>
              </w:rPr>
              <w:t>Integration attempted</w:t>
            </w:r>
          </w:p>
        </w:tc>
        <w:tc>
          <w:tcPr>
            <w:tcW w:type="dxa" w:w="4706"/>
          </w:tcPr>
          <w:p>
            <w:pPr>
              <w:spacing w:after="40"/>
            </w:pPr>
            <w:r>
              <w:rPr>
                <w:sz w:val="18"/>
              </w:rPr>
            </w:r>
            <w:r>
              <w:rPr>
                <w:b/>
                <w:sz w:val="18"/>
              </w:rPr>
              <w:t>no</w:t>
            </w:r>
          </w:p>
        </w:tc>
      </w:tr>
      <w:tr>
        <w:tc>
          <w:tcPr>
            <w:tcW w:type="dxa" w:w="4706"/>
          </w:tcPr>
          <w:p>
            <w:pPr>
              <w:spacing w:after="40"/>
            </w:pPr>
            <w:r>
              <w:rPr>
                <w:sz w:val="18"/>
              </w:rPr>
            </w:r>
            <w:r>
              <w:rPr>
                <w:sz w:val="18"/>
              </w:rPr>
              <w:t>Non-functional testing</w:t>
            </w:r>
          </w:p>
        </w:tc>
        <w:tc>
          <w:tcPr>
            <w:tcW w:type="dxa" w:w="4706"/>
          </w:tcPr>
          <w:p>
            <w:pPr>
              <w:spacing w:after="40"/>
            </w:pPr>
            <w:r>
              <w:rPr>
                <w:sz w:val="18"/>
              </w:rPr>
            </w:r>
            <w:r>
              <w:rPr>
                <w:sz w:val="18"/>
              </w:rPr>
              <w:t>not started</w:t>
            </w:r>
          </w:p>
        </w:tc>
      </w:tr>
    </w:tbl>
    <w:p>
      <w:pPr>
        <w:spacing w:after="40"/>
      </w:pPr>
    </w:p>
    <w:p>
      <w:r>
        <w:t>Integration with the two upstream systems has not been attempted. Testing is scheduled to begin in month 10. Both are deferred risk rather than absent risk.</w:t>
      </w:r>
    </w:p>
    <w:p>
      <w:pPr>
        <w:pStyle w:val="Heading1"/>
      </w:pPr>
      <w:r>
        <w:t>6. Decision needed this week</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t>
            </w:r>
          </w:p>
        </w:tc>
        <w:tc>
          <w:tcPr>
            <w:tcW w:type="dxa" w:w="1882"/>
            <w:shd w:val="clear" w:color="auto" w:fill="F1EAFE"/>
          </w:tcPr>
          <w:p>
            <w:pPr>
              <w:spacing w:after="40"/>
            </w:pPr>
            <w:r>
              <w:rPr>
                <w:b/>
                <w:sz w:val="18"/>
              </w:rPr>
            </w:r>
            <w:r>
              <w:rPr>
                <w:b/>
                <w:sz w:val="18"/>
              </w:rPr>
              <w:t>Decision</w:t>
            </w:r>
          </w:p>
        </w:tc>
        <w:tc>
          <w:tcPr>
            <w:tcW w:type="dxa" w:w="1882"/>
            <w:shd w:val="clear" w:color="auto" w:fill="F1EAFE"/>
          </w:tcPr>
          <w:p>
            <w:pPr>
              <w:spacing w:after="40"/>
            </w:pPr>
            <w:r>
              <w:rPr>
                <w:b/>
                <w:sz w:val="18"/>
              </w:rPr>
            </w:r>
            <w:r>
              <w:rPr>
                <w:b/>
                <w:sz w:val="18"/>
              </w:rPr>
              <w:t>Who</w:t>
            </w:r>
          </w:p>
        </w:tc>
        <w:tc>
          <w:tcPr>
            <w:tcW w:type="dxa" w:w="1882"/>
            <w:shd w:val="clear" w:color="auto" w:fill="F1EAFE"/>
          </w:tcPr>
          <w:p>
            <w:pPr>
              <w:spacing w:after="40"/>
            </w:pPr>
            <w:r>
              <w:rPr>
                <w:b/>
                <w:sz w:val="18"/>
              </w:rPr>
            </w:r>
            <w:r>
              <w:rPr>
                <w:b/>
                <w:sz w:val="18"/>
              </w:rPr>
              <w:t>By</w:t>
            </w:r>
          </w:p>
        </w:tc>
        <w:tc>
          <w:tcPr>
            <w:tcW w:type="dxa" w:w="1882"/>
            <w:shd w:val="clear" w:color="auto" w:fill="F1EAFE"/>
          </w:tcPr>
          <w:p>
            <w:pPr>
              <w:spacing w:after="40"/>
            </w:pPr>
            <w:r>
              <w:rPr>
                <w:b/>
                <w:sz w:val="18"/>
              </w:rPr>
            </w:r>
            <w:r>
              <w:rPr>
                <w:b/>
                <w:sz w:val="18"/>
              </w:rPr>
              <w:t>Cost of not deciding</w:t>
            </w:r>
          </w:p>
        </w:tc>
      </w:tr>
      <w:tr>
        <w:tc>
          <w:tcPr>
            <w:tcW w:type="dxa" w:w="1882"/>
          </w:tcPr>
          <w:p>
            <w:pPr>
              <w:spacing w:after="40"/>
            </w:pPr>
            <w:r>
              <w:rPr>
                <w:sz w:val="18"/>
              </w:rPr>
            </w:r>
            <w:r>
              <w:rPr>
                <w:sz w:val="18"/>
              </w:rPr>
              <w:t>1</w:t>
            </w:r>
          </w:p>
        </w:tc>
        <w:tc>
          <w:tcPr>
            <w:tcW w:type="dxa" w:w="1882"/>
          </w:tcPr>
          <w:p>
            <w:pPr>
              <w:spacing w:after="40"/>
            </w:pPr>
            <w:r>
              <w:rPr>
                <w:sz w:val="18"/>
              </w:rPr>
            </w:r>
            <w:r>
              <w:rPr>
                <w:sz w:val="18"/>
              </w:rPr>
              <w:t>Reduce scope, or move the date</w:t>
            </w:r>
          </w:p>
        </w:tc>
        <w:tc>
          <w:tcPr>
            <w:tcW w:type="dxa" w:w="1882"/>
          </w:tcPr>
          <w:p>
            <w:pPr>
              <w:spacing w:after="40"/>
            </w:pPr>
            <w:r>
              <w:rPr>
                <w:sz w:val="18"/>
              </w:rPr>
            </w:r>
            <w:r>
              <w:rPr>
                <w:sz w:val="18"/>
              </w:rPr>
              <w:t>Sponsor</w:t>
            </w:r>
          </w:p>
        </w:tc>
        <w:tc>
          <w:tcPr>
            <w:tcW w:type="dxa" w:w="1882"/>
          </w:tcPr>
          <w:p>
            <w:pPr>
              <w:spacing w:after="40"/>
            </w:pPr>
            <w:r>
              <w:rPr>
                <w:sz w:val="18"/>
              </w:rPr>
            </w:r>
            <w:r>
              <w:rPr>
                <w:sz w:val="18"/>
              </w:rPr>
              <w:t>15th</w:t>
            </w:r>
          </w:p>
        </w:tc>
        <w:tc>
          <w:tcPr>
            <w:tcW w:type="dxa" w:w="1882"/>
          </w:tcPr>
          <w:p>
            <w:pPr>
              <w:spacing w:after="40"/>
            </w:pPr>
            <w:r>
              <w:rPr>
                <w:sz w:val="18"/>
              </w:rPr>
            </w:r>
            <w:r>
              <w:rPr>
                <w:sz w:val="18"/>
              </w:rPr>
              <w:t>Both happen anyway, later and without a choice</w:t>
            </w:r>
          </w:p>
        </w:tc>
      </w:tr>
      <w:tr>
        <w:tc>
          <w:tcPr>
            <w:tcW w:type="dxa" w:w="1882"/>
          </w:tcPr>
          <w:p>
            <w:pPr>
              <w:spacing w:after="40"/>
            </w:pPr>
            <w:r>
              <w:rPr>
                <w:sz w:val="18"/>
              </w:rPr>
            </w:r>
            <w:r>
              <w:rPr>
                <w:sz w:val="18"/>
              </w:rPr>
              <w:t>2</w:t>
            </w:r>
          </w:p>
        </w:tc>
        <w:tc>
          <w:tcPr>
            <w:tcW w:type="dxa" w:w="1882"/>
          </w:tcPr>
          <w:p>
            <w:pPr>
              <w:spacing w:after="40"/>
            </w:pPr>
            <w:r>
              <w:rPr>
                <w:sz w:val="18"/>
              </w:rPr>
            </w:r>
            <w:r>
              <w:rPr>
                <w:sz w:val="18"/>
              </w:rPr>
              <w:t>Escalate the payments API contract</w:t>
            </w:r>
          </w:p>
        </w:tc>
        <w:tc>
          <w:tcPr>
            <w:tcW w:type="dxa" w:w="1882"/>
          </w:tcPr>
          <w:p>
            <w:pPr>
              <w:spacing w:after="40"/>
            </w:pPr>
            <w:r>
              <w:rPr>
                <w:sz w:val="18"/>
              </w:rPr>
            </w:r>
            <w:r>
              <w:rPr>
                <w:sz w:val="18"/>
              </w:rPr>
              <w:t>Sponsor</w:t>
            </w:r>
          </w:p>
        </w:tc>
        <w:tc>
          <w:tcPr>
            <w:tcW w:type="dxa" w:w="1882"/>
          </w:tcPr>
          <w:p>
            <w:pPr>
              <w:spacing w:after="40"/>
            </w:pPr>
            <w:r>
              <w:rPr>
                <w:sz w:val="18"/>
              </w:rPr>
            </w:r>
            <w:r>
              <w:rPr>
                <w:sz w:val="18"/>
              </w:rPr>
              <w:t>12th</w:t>
            </w:r>
          </w:p>
        </w:tc>
        <w:tc>
          <w:tcPr>
            <w:tcW w:type="dxa" w:w="1882"/>
          </w:tcPr>
          <w:p>
            <w:pPr>
              <w:spacing w:after="40"/>
            </w:pPr>
            <w:r>
              <w:rPr>
                <w:sz w:val="18"/>
              </w:rPr>
            </w:r>
            <w:r>
              <w:rPr>
                <w:sz w:val="18"/>
              </w:rPr>
              <w:t>Adds ~1 week per week of delay</w:t>
            </w:r>
          </w:p>
        </w:tc>
      </w:tr>
      <w:tr>
        <w:tc>
          <w:tcPr>
            <w:tcW w:type="dxa" w:w="1882"/>
          </w:tcPr>
          <w:p>
            <w:pPr>
              <w:spacing w:after="40"/>
            </w:pPr>
            <w:r>
              <w:rPr>
                <w:sz w:val="18"/>
              </w:rPr>
            </w:r>
            <w:r>
              <w:rPr>
                <w:sz w:val="18"/>
              </w:rPr>
              <w:t>3</w:t>
            </w:r>
          </w:p>
        </w:tc>
        <w:tc>
          <w:tcPr>
            <w:tcW w:type="dxa" w:w="1882"/>
          </w:tcPr>
          <w:p>
            <w:pPr>
              <w:spacing w:after="40"/>
            </w:pPr>
            <w:r>
              <w:rPr>
                <w:sz w:val="18"/>
              </w:rPr>
            </w:r>
            <w:r>
              <w:rPr>
                <w:sz w:val="18"/>
              </w:rPr>
              <w:t>Delegate approvals below £10k</w:t>
            </w:r>
          </w:p>
        </w:tc>
        <w:tc>
          <w:tcPr>
            <w:tcW w:type="dxa" w:w="1882"/>
          </w:tcPr>
          <w:p>
            <w:pPr>
              <w:spacing w:after="40"/>
            </w:pPr>
            <w:r>
              <w:rPr>
                <w:sz w:val="18"/>
              </w:rPr>
            </w:r>
            <w:r>
              <w:rPr>
                <w:sz w:val="18"/>
              </w:rPr>
              <w:t>Sponsor</w:t>
            </w:r>
          </w:p>
        </w:tc>
        <w:tc>
          <w:tcPr>
            <w:tcW w:type="dxa" w:w="1882"/>
          </w:tcPr>
          <w:p>
            <w:pPr>
              <w:spacing w:after="40"/>
            </w:pPr>
            <w:r>
              <w:rPr>
                <w:sz w:val="18"/>
              </w:rPr>
            </w:r>
            <w:r>
              <w:rPr>
                <w:sz w:val="18"/>
              </w:rPr>
              <w:t>15th</w:t>
            </w:r>
          </w:p>
        </w:tc>
        <w:tc>
          <w:tcPr>
            <w:tcW w:type="dxa" w:w="1882"/>
          </w:tcPr>
          <w:p>
            <w:pPr>
              <w:spacing w:after="40"/>
            </w:pPr>
            <w:r>
              <w:rPr>
                <w:sz w:val="18"/>
              </w:rPr>
            </w:r>
            <w:r>
              <w:rPr>
                <w:sz w:val="18"/>
              </w:rPr>
              <w:t>9-day decision latency continues</w:t>
            </w:r>
          </w:p>
        </w:tc>
      </w:tr>
    </w:tbl>
    <w:p>
      <w:pPr>
        <w:spacing w:after="40"/>
      </w:pPr>
    </w:p>
    <w:p>
      <w:r>
        <w:rPr>
          <w:b/>
        </w:rPr>
        <w:t>Options for decision 1, with what each costs:</w:t>
      </w:r>
    </w:p>
    <w:p>
      <w:pPr>
        <w:pStyle w:val="ListBullet"/>
      </w:pPr>
      <w:r>
        <w:rPr>
          <w:b/>
        </w:rPr>
        <w:t>Hold the date, reduce scope.</w:t>
      </w:r>
      <w:r>
        <w:t xml:space="preserve"> Defer reporting module and 4 of the 14 approved changes.</w:t>
      </w:r>
    </w:p>
    <w:p>
      <w:r>
        <w:t>Recovers ~5 weeks. Recommended.</w:t>
      </w:r>
    </w:p>
    <w:p>
      <w:pPr>
        <w:pStyle w:val="ListBullet"/>
      </w:pPr>
      <w:r>
        <w:rPr>
          <w:b/>
        </w:rPr>
        <w:t>Hold scope, move the date.</w:t>
      </w:r>
      <w:r>
        <w:t xml:space="preserve"> New date: mid-March. No further cost beyond the extension.</w:t>
      </w:r>
    </w:p>
    <w:p>
      <w:pPr>
        <w:pStyle w:val="ListBullet"/>
      </w:pPr>
      <w:r>
        <w:rPr>
          <w:b/>
        </w:rPr>
        <w:t>Hold both.</w:t>
      </w:r>
      <w:r>
        <w:t xml:space="preserve"> Requires 3 additional engineers by the 20th; onboarding cost means the net</w:t>
      </w:r>
    </w:p>
    <w:p>
      <w:r>
        <w:t>recovery is roughly 2 weeks, not 6.</w:t>
      </w:r>
    </w:p>
    <w:p>
      <w:pPr>
        <w:pStyle w:val="Heading1"/>
      </w:pPr>
      <w:r>
        <w:t>7. Next period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Commitment</w:t>
            </w:r>
          </w:p>
        </w:tc>
        <w:tc>
          <w:tcPr>
            <w:tcW w:type="dxa" w:w="4706"/>
            <w:shd w:val="clear" w:color="auto" w:fill="F1EAFE"/>
          </w:tcPr>
          <w:p>
            <w:pPr>
              <w:spacing w:after="40"/>
            </w:pPr>
            <w:r>
              <w:rPr>
                <w:b/>
                <w:sz w:val="18"/>
              </w:rPr>
            </w:r>
            <w:r>
              <w:rPr>
                <w:b/>
                <w:sz w:val="18"/>
              </w:rPr>
              <w:t>Confidence</w:t>
            </w:r>
          </w:p>
        </w:tc>
      </w:tr>
      <w:tr>
        <w:tc>
          <w:tcPr>
            <w:tcW w:type="dxa" w:w="4706"/>
          </w:tcPr>
          <w:p>
            <w:pPr>
              <w:spacing w:after="40"/>
            </w:pPr>
            <w:r>
              <w:rPr>
                <w:sz w:val="18"/>
              </w:rPr>
            </w:r>
            <w:r>
              <w:rPr>
                <w:sz w:val="18"/>
              </w:rPr>
              <w:t>Payments integration complete (if contract lands by 12th)</w:t>
            </w:r>
          </w:p>
        </w:tc>
        <w:tc>
          <w:tcPr>
            <w:tcW w:type="dxa" w:w="4706"/>
          </w:tcPr>
          <w:p>
            <w:pPr>
              <w:spacing w:after="40"/>
            </w:pPr>
            <w:r>
              <w:rPr>
                <w:sz w:val="18"/>
              </w:rPr>
            </w:r>
            <w:r>
              <w:rPr>
                <w:sz w:val="18"/>
              </w:rPr>
              <w:t>low</w:t>
            </w:r>
          </w:p>
        </w:tc>
      </w:tr>
      <w:tr>
        <w:tc>
          <w:tcPr>
            <w:tcW w:type="dxa" w:w="4706"/>
          </w:tcPr>
          <w:p>
            <w:pPr>
              <w:spacing w:after="40"/>
            </w:pPr>
            <w:r>
              <w:rPr>
                <w:sz w:val="18"/>
              </w:rPr>
            </w:r>
            <w:r>
              <w:rPr>
                <w:sz w:val="18"/>
              </w:rPr>
              <w:t>Notification service accepted</w:t>
            </w:r>
          </w:p>
        </w:tc>
        <w:tc>
          <w:tcPr>
            <w:tcW w:type="dxa" w:w="4706"/>
          </w:tcPr>
          <w:p>
            <w:pPr>
              <w:spacing w:after="40"/>
            </w:pPr>
            <w:r>
              <w:rPr>
                <w:sz w:val="18"/>
              </w:rPr>
            </w:r>
            <w:r>
              <w:rPr>
                <w:sz w:val="18"/>
              </w:rPr>
              <w:t>medium</w:t>
            </w:r>
          </w:p>
        </w:tc>
      </w:tr>
      <w:tr>
        <w:tc>
          <w:tcPr>
            <w:tcW w:type="dxa" w:w="4706"/>
          </w:tcPr>
          <w:p>
            <w:pPr>
              <w:spacing w:after="40"/>
            </w:pPr>
            <w:r>
              <w:rPr>
                <w:sz w:val="18"/>
              </w:rPr>
            </w:r>
            <w:r>
              <w:rPr>
                <w:sz w:val="18"/>
              </w:rPr>
              <w:t>Begin integration testing</w:t>
            </w:r>
          </w:p>
        </w:tc>
        <w:tc>
          <w:tcPr>
            <w:tcW w:type="dxa" w:w="4706"/>
          </w:tcPr>
          <w:p>
            <w:pPr>
              <w:spacing w:after="40"/>
            </w:pPr>
            <w:r>
              <w:rPr>
                <w:sz w:val="18"/>
              </w:rPr>
            </w:r>
            <w:r>
              <w:rPr>
                <w:sz w:val="18"/>
              </w:rPr>
              <w:t>high</w:t>
            </w:r>
          </w:p>
        </w:tc>
      </w:tr>
    </w:tbl>
    <w:p>
      <w:pPr>
        <w:spacing w:after="40"/>
      </w:pPr>
    </w:p>
    <w:p>
      <w:r>
        <w:t>---</w:t>
      </w:r>
    </w:p>
    <w:p>
      <w:r>
        <w:rPr>
          <w:b/>
        </w:rPr>
        <w:t>Why this report reads the way it does.</w:t>
      </w:r>
      <w:r>
        <w:t xml:space="preserve"> The project has been green for four months on effort metrics while accepted scope fell behind. Nothing was concealed; the numbers that would have shown it were not being reported.</w:t>
      </w:r>
    </w:p>
    <w:p>
      <w:r>
        <w:t xml:space="preserve">Three figures carry the whole report: </w:t>
      </w:r>
      <w:r>
        <w:rPr>
          <w:b/>
        </w:rPr>
        <w:t>41% against 70%</w:t>
      </w:r>
      <w:r>
        <w:t xml:space="preserve">, </w:t>
      </w:r>
      <w:r>
        <w:rPr>
          <w:b/>
        </w:rPr>
        <w:t>+9 weeks of un-totalled change</w:t>
      </w:r>
      <w:r>
        <w:t xml:space="preserve">, and </w:t>
      </w:r>
      <w:r>
        <w:rPr>
          <w:b/>
        </w:rPr>
        <w:t>9-day decision latency</w:t>
      </w:r>
      <w:r>
        <w:t>. Each was available months ago. The report now includes them by default so this cannot recur quietly.</w:t>
      </w:r>
    </w:p>
    <w:p>
      <w:r>
        <w:t xml:space="preserve">See </w:t>
      </w:r>
      <w:r>
        <w:rPr>
          <w:color w:val="7C3AED"/>
          <w:u w:val="single"/>
        </w:rPr>
        <w:t>project management</w:t>
      </w:r>
      <w:r>
        <w:rPr>
          <w:sz w:val="17"/>
        </w:rPr>
        <w:t xml:space="preserve"> (bvlogic.com/knowledge/project-management/)</w:t>
      </w:r>
      <w:r>
        <w:t xml:space="preserve">, the </w:t>
      </w:r>
      <w:r>
        <w:rPr>
          <w:color w:val="7C3AED"/>
          <w:u w:val="single"/>
        </w:rPr>
        <w:t>health check</w:t>
      </w:r>
      <w:r>
        <w:rPr>
          <w:sz w:val="17"/>
        </w:rPr>
        <w:t xml:space="preserve"> (bvlogic.com/knowledge/project-management/checklist/)</w:t>
      </w:r>
      <w:r>
        <w:t xml:space="preserve">, the </w:t>
      </w:r>
      <w:r>
        <w:rPr>
          <w:color w:val="7C3AED"/>
          <w:u w:val="single"/>
        </w:rPr>
        <w:t>status report template</w:t>
      </w:r>
      <w:r>
        <w:rPr>
          <w:sz w:val="17"/>
        </w:rPr>
        <w:t xml:space="preserve"> (bvlogic.com/knowledge/project-management/template/)</w:t>
      </w:r>
      <w:r>
        <w:t xml:space="preserve">, and the </w:t>
      </w:r>
      <w:r>
        <w:rPr>
          <w:color w:val="7C3AED"/>
          <w:u w:val="single"/>
        </w:rPr>
        <w:t>worked example</w:t>
      </w:r>
      <w:r>
        <w:rPr>
          <w:sz w:val="17"/>
        </w:rPr>
        <w:t xml:space="preserve"> (bvlogic.com/knowledge/project-management/example/)</w:t>
      </w:r>
      <w:r>
        <w:t xml:space="preserve"> of the review that produced these numbers.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Project Status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Status Report: Sample</dc:title>
  <dc:subject/>
  <dc:creator>BvLogic</dc:creator>
  <cp:keywords>BvLogic, Report, enterprise AI, Project Status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