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A Health Check That Changed the Outcome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BVL-F46A87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scenario and figures are composed to show the method, not</w:t>
      </w:r>
    </w:p>
    <w:p>
      <w:pPr>
        <w:ind w:left="454"/>
        <w:shd w:val="clear" w:color="auto" w:fill="FAFAFB"/>
      </w:pPr>
      <w:r>
        <w:rPr>
          <w:i/>
        </w:rPr>
        <w:t>drawn from a named engagement.</w:t>
      </w:r>
    </w:p>
    <w:p>
      <w:r>
        <w:t>A replacement customer portal, eight months in on a twelve-month plan. Status reports have been green since month four. The sponsor is comfortable.</w:t>
      </w:r>
    </w:p>
    <w:p>
      <w:r>
        <w:t xml:space="preserve">The delivery manager runs the </w:t>
      </w:r>
      <w:r>
        <w:rPr>
          <w:color w:val="7C3AED"/>
          <w:u w:val="single"/>
        </w:rPr>
        <w:t>health check</w:t>
      </w:r>
      <w:r>
        <w:rPr>
          <w:sz w:val="17"/>
        </w:rPr>
        <w:t xml:space="preserve"> (bvlogic.com/knowledge/project-management/checklist/)</w:t>
      </w:r>
      <w:r>
        <w:t xml:space="preserve"> because something feels wrong and she cannot say what.</w:t>
      </w:r>
    </w:p>
    <w:p>
      <w:pPr>
        <w:pStyle w:val="Heading1"/>
      </w:pPr>
      <w:r>
        <w:t>Question 1: would you bet on the end date?</w:t>
      </w:r>
    </w:p>
    <w:p>
      <w:r>
        <w:t xml:space="preserve">Asked of herself, honestly: </w:t>
      </w:r>
      <w:r>
        <w:rPr>
          <w:b/>
        </w:rPr>
        <w:t>no</w:t>
      </w:r>
      <w:r>
        <w:t>.</w:t>
      </w:r>
    </w:p>
    <w:p>
      <w:r>
        <w:t xml:space="preserve">Asked of the three team leads separately, so they were not answering in front of each other: </w:t>
      </w:r>
      <w:r>
        <w:rPr>
          <w:b/>
        </w:rPr>
        <w:t>no, no, and "probably not"</w:t>
      </w:r>
      <w:r>
        <w:t>.</w:t>
      </w:r>
    </w:p>
    <w:p>
      <w:r>
        <w:t>Nobody had said so. Not because anyone was concealing anything, each had reasons that sounded manageable in isolation, and none felt like the moment to escalate.</w:t>
      </w:r>
    </w:p>
    <w:p>
      <w:r>
        <w:t>That is the finding the rest of the check exists to explain.</w:t>
      </w:r>
    </w:p>
    <w:p>
      <w:pPr>
        <w:pStyle w:val="Heading1"/>
      </w:pPr>
      <w:r>
        <w:t>Question 2: progress measured how?</w:t>
      </w:r>
    </w:p>
    <w:p>
      <w:r>
        <w:t xml:space="preserve">The report tracked </w:t>
      </w:r>
      <w:r>
        <w:rPr>
          <w:b/>
        </w:rPr>
        <w:t>effort spent against plan</w:t>
      </w:r>
      <w:r>
        <w:t>: 68% of budgeted days used, 70% of the timeline elapsed. Green.</w:t>
      </w:r>
    </w:p>
    <w:p>
      <w:r>
        <w:t xml:space="preserve">Recounted as </w:t>
      </w:r>
      <w:r>
        <w:rPr>
          <w:b/>
        </w:rPr>
        <w:t>completed and accepted</w:t>
      </w:r>
      <w:r>
        <w:t xml:space="preserve"> work: </w:t>
      </w:r>
      <w:r>
        <w:rPr>
          <w:b/>
        </w:rPr>
        <w:t>41%</w:t>
      </w:r>
      <w:r>
        <w:t xml:space="preserve"> of the scope had been accepted by the business.</w:t>
      </w:r>
    </w:p>
    <w:p>
      <w:r>
        <w:t>The two numbers had been diverging since month five and nobody was tracking the second one, so nothing surfaced the gap.</w:t>
      </w:r>
    </w:p>
    <w:p>
      <w:pPr>
        <w:pStyle w:val="Heading1"/>
      </w:pPr>
      <w:r>
        <w:t>Question 3: the ageing items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Oldest item "in progress"</w:t>
            </w:r>
          </w:p>
        </w:tc>
        <w:tc>
          <w:tcPr>
            <w:tcW w:type="dxa" w:w="4706"/>
            <w:shd w:val="clear" w:color="auto" w:fill="F1EAFE"/>
          </w:tcPr>
          <w:p>
            <w:pPr>
              <w:spacing w:after="40"/>
            </w:pPr>
            <w:r>
              <w:rPr>
                <w:b/>
                <w:sz w:val="18"/>
              </w:rPr>
            </w:r>
            <w:r>
              <w:rPr>
                <w:b/>
                <w:sz w:val="18"/>
              </w:rPr>
              <w:t>47 days</w:t>
            </w:r>
          </w:p>
        </w:tc>
      </w:tr>
      <w:tr>
        <w:tc>
          <w:tcPr>
            <w:tcW w:type="dxa" w:w="4706"/>
          </w:tcPr>
          <w:p>
            <w:pPr>
              <w:spacing w:after="40"/>
            </w:pPr>
            <w:r>
              <w:rPr>
                <w:sz w:val="18"/>
              </w:rPr>
            </w:r>
            <w:r>
              <w:rPr>
                <w:sz w:val="18"/>
              </w:rPr>
              <w:t>Items blocked over 2 weeks</w:t>
            </w:r>
          </w:p>
        </w:tc>
        <w:tc>
          <w:tcPr>
            <w:tcW w:type="dxa" w:w="4706"/>
          </w:tcPr>
          <w:p>
            <w:pPr>
              <w:spacing w:after="40"/>
            </w:pPr>
            <w:r>
              <w:rPr>
                <w:sz w:val="18"/>
              </w:rPr>
            </w:r>
            <w:r>
              <w:rPr>
                <w:sz w:val="18"/>
              </w:rPr>
              <w:t>6</w:t>
            </w:r>
          </w:p>
        </w:tc>
      </w:tr>
      <w:tr>
        <w:tc>
          <w:tcPr>
            <w:tcW w:type="dxa" w:w="4706"/>
          </w:tcPr>
          <w:p>
            <w:pPr>
              <w:spacing w:after="40"/>
            </w:pPr>
            <w:r>
              <w:rPr>
                <w:sz w:val="18"/>
              </w:rPr>
            </w:r>
            <w:r>
              <w:rPr>
                <w:sz w:val="18"/>
              </w:rPr>
              <w:t>Average time to get a decision</w:t>
            </w:r>
          </w:p>
        </w:tc>
        <w:tc>
          <w:tcPr>
            <w:tcW w:type="dxa" w:w="4706"/>
          </w:tcPr>
          <w:p>
            <w:pPr>
              <w:spacing w:after="40"/>
            </w:pPr>
            <w:r>
              <w:rPr>
                <w:sz w:val="18"/>
              </w:rPr>
            </w:r>
            <w:r>
              <w:rPr>
                <w:sz w:val="18"/>
              </w:rPr>
              <w:t>9 days</w:t>
            </w:r>
          </w:p>
        </w:tc>
      </w:tr>
      <w:tr>
        <w:tc>
          <w:tcPr>
            <w:tcW w:type="dxa" w:w="4706"/>
          </w:tcPr>
          <w:p>
            <w:pPr>
              <w:spacing w:after="40"/>
            </w:pPr>
            <w:r>
              <w:rPr>
                <w:sz w:val="18"/>
              </w:rPr>
            </w:r>
            <w:r>
              <w:rPr>
                <w:sz w:val="18"/>
              </w:rPr>
              <w:t>Longest-running blocker</w:t>
            </w:r>
          </w:p>
        </w:tc>
        <w:tc>
          <w:tcPr>
            <w:tcW w:type="dxa" w:w="4706"/>
          </w:tcPr>
          <w:p>
            <w:pPr>
              <w:spacing w:after="40"/>
            </w:pPr>
            <w:r>
              <w:rPr>
                <w:sz w:val="18"/>
              </w:rPr>
            </w:r>
            <w:r>
              <w:rPr>
                <w:sz w:val="18"/>
              </w:rPr>
              <w:t>61 days, waiting on a third-party API contract</w:t>
            </w:r>
          </w:p>
        </w:tc>
      </w:tr>
    </w:tbl>
    <w:p>
      <w:pPr>
        <w:spacing w:after="40"/>
      </w:pPr>
    </w:p>
    <w:p>
      <w:r>
        <w:t>The nine-day decision latency was the one that changed the conversation. The team ran two-week iterations. A decision taking nine days meant most iterations contained a stall, and the team had adapted by working around blockers rather than escalating them, which made the delay invisible in the reporting.</w:t>
      </w:r>
    </w:p>
    <w:p>
      <w:pPr>
        <w:pStyle w:val="Heading1"/>
      </w:pPr>
      <w:r>
        <w:t>Question 4: what changed since baseline?</w:t>
      </w:r>
    </w:p>
    <w:p>
      <w:r>
        <w:t>Fourteen approved changes. Each assessed on its own, each individually reasonable, each approved by the sponsor.</w:t>
      </w:r>
    </w:p>
    <w:p>
      <w:r>
        <w:t>Nobody had added them up:</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Cumulative schedule impact</w:t>
            </w:r>
          </w:p>
        </w:tc>
        <w:tc>
          <w:tcPr>
            <w:tcW w:type="dxa" w:w="4706"/>
            <w:shd w:val="clear" w:color="auto" w:fill="F1EAFE"/>
          </w:tcPr>
          <w:p>
            <w:pPr>
              <w:spacing w:after="40"/>
            </w:pPr>
            <w:r>
              <w:rPr>
                <w:b/>
                <w:sz w:val="18"/>
              </w:rPr>
            </w:r>
            <w:r>
              <w:rPr>
                <w:b/>
                <w:sz w:val="18"/>
              </w:rPr>
              <w:t>+9 weeks</w:t>
            </w:r>
          </w:p>
        </w:tc>
      </w:tr>
      <w:tr>
        <w:tc>
          <w:tcPr>
            <w:tcW w:type="dxa" w:w="4706"/>
          </w:tcPr>
          <w:p>
            <w:pPr>
              <w:spacing w:after="40"/>
            </w:pPr>
            <w:r>
              <w:rPr>
                <w:sz w:val="18"/>
              </w:rPr>
            </w:r>
            <w:r>
              <w:rPr>
                <w:sz w:val="18"/>
              </w:rPr>
              <w:t>Cumulative cost impact</w:t>
            </w:r>
          </w:p>
        </w:tc>
        <w:tc>
          <w:tcPr>
            <w:tcW w:type="dxa" w:w="4706"/>
          </w:tcPr>
          <w:p>
            <w:pPr>
              <w:spacing w:after="40"/>
            </w:pPr>
            <w:r>
              <w:rPr>
                <w:sz w:val="18"/>
              </w:rPr>
            </w:r>
            <w:r>
              <w:rPr>
                <w:sz w:val="18"/>
              </w:rPr>
              <w:t>+£142,000</w:t>
            </w:r>
          </w:p>
        </w:tc>
      </w:tr>
      <w:tr>
        <w:tc>
          <w:tcPr>
            <w:tcW w:type="dxa" w:w="4706"/>
          </w:tcPr>
          <w:p>
            <w:pPr>
              <w:spacing w:after="40"/>
            </w:pPr>
            <w:r>
              <w:rPr>
                <w:sz w:val="18"/>
              </w:rPr>
            </w:r>
            <w:r>
              <w:rPr>
                <w:sz w:val="18"/>
              </w:rPr>
              <w:t>Scope dropped to absorb them</w:t>
            </w:r>
          </w:p>
        </w:tc>
        <w:tc>
          <w:tcPr>
            <w:tcW w:type="dxa" w:w="4706"/>
          </w:tcPr>
          <w:p>
            <w:pPr>
              <w:spacing w:after="40"/>
            </w:pPr>
            <w:r>
              <w:rPr>
                <w:sz w:val="18"/>
              </w:rPr>
            </w:r>
            <w:r>
              <w:rPr>
                <w:sz w:val="18"/>
              </w:rPr>
              <w:t>none</w:t>
            </w:r>
          </w:p>
        </w:tc>
      </w:tr>
    </w:tbl>
    <w:p>
      <w:pPr>
        <w:spacing w:after="40"/>
      </w:pPr>
    </w:p>
    <w:p>
      <w:r>
        <w:t>The sponsor had approved nine weeks of additional work without ever being shown that figure, because it had only ever been presented one change at a time.</w:t>
      </w:r>
    </w:p>
    <w:p>
      <w:pPr>
        <w:pStyle w:val="Heading1"/>
      </w:pPr>
      <w:r>
        <w:t>Question 5: testing</w:t>
      </w:r>
    </w:p>
    <w:p>
      <w:r>
        <w:t>Testing was scheduled to begin in month ten. Nothing substantial had been tested. Integration with the two upstream systems had not been attempted.</w:t>
      </w:r>
    </w:p>
    <w:p>
      <w:r>
        <w:t>Deferred integration and deferred testing are the two most reliable predictors of a late finish, and both were present.</w:t>
      </w:r>
    </w:p>
    <w:p>
      <w:pPr>
        <w:pStyle w:val="Heading1"/>
      </w:pPr>
      <w:r>
        <w:t>What the check produced</w:t>
      </w:r>
    </w:p>
    <w:p>
      <w:r>
        <w:t xml:space="preserve">Not a colour. Three numbers the sponsor had never seen: </w:t>
      </w:r>
      <w:r>
        <w:rPr>
          <w:b/>
        </w:rPr>
        <w:t>41% accepted against 70% elapsed</w:t>
      </w:r>
      <w:r>
        <w:t xml:space="preserve">, </w:t>
      </w:r>
      <w:r>
        <w:rPr>
          <w:b/>
        </w:rPr>
        <w:t>+9 weeks of approved change</w:t>
      </w:r>
      <w:r>
        <w:t xml:space="preserve">, and </w:t>
      </w:r>
      <w:r>
        <w:rPr>
          <w:b/>
        </w:rPr>
        <w:t>9 days to get a decision</w:t>
      </w:r>
      <w:r>
        <w:t>.</w:t>
      </w:r>
    </w:p>
    <w:p>
      <w:pPr>
        <w:pStyle w:val="Heading1"/>
      </w:pPr>
      <w:r>
        <w:t>The two decisions</w:t>
      </w:r>
    </w:p>
    <w:p>
      <w:r>
        <w:rPr>
          <w:b/>
        </w:rPr>
        <w:t>Decision 1: scope.</w:t>
      </w:r>
      <w:r>
        <w:t xml:space="preserve"> Presented with the arithmetic, the sponsor cut two of the fourteen changes and deferred a further three to a second phase. That recovered roughly five weeks.</w:t>
      </w:r>
    </w:p>
    <w:p>
      <w:r>
        <w:rPr>
          <w:b/>
        </w:rPr>
        <w:t>Decision 2: decision latency.</w:t>
      </w:r>
      <w:r>
        <w:t xml:space="preserve"> The sponsor delegated approval below a threshold to the product owner, and committed to a standing 30-minute slot twice a week for anything above it. Decision time fell from nine days to under two within a month.</w:t>
      </w:r>
    </w:p>
    <w:p>
      <w:r>
        <w:t>The second decision cost nothing and was worth more than the first.</w:t>
      </w:r>
    </w:p>
    <w:p>
      <w:pPr>
        <w:pStyle w:val="Heading1"/>
      </w:pPr>
      <w:r>
        <w:t>The outcome</w:t>
      </w:r>
    </w:p>
    <w:p>
      <w:r>
        <w:t>Delivered six weeks later than the original date, with an agreed reduced scope, and the sponsor knew about it in month eight rather than month eleven.</w:t>
      </w:r>
    </w:p>
    <w:p>
      <w:r>
        <w:t>That is what a health check is for. It did not make the project faster; it made the situation visible while there was still room to act.</w:t>
      </w:r>
    </w:p>
    <w:p>
      <w:pPr>
        <w:pStyle w:val="Heading1"/>
      </w:pPr>
      <w:r>
        <w:t>What transfers</w:t>
      </w:r>
    </w:p>
    <w:p>
      <w:r>
        <w:rPr>
          <w:b/>
        </w:rPr>
        <w:t>Ask the direct question, separately, of several people.</w:t>
      </w:r>
      <w:r>
        <w:t xml:space="preserve"> "Would you bet on this date?" produces answers that a status meeting does not.</w:t>
      </w:r>
    </w:p>
    <w:p>
      <w:r>
        <w:rPr>
          <w:b/>
        </w:rPr>
        <w:t>Measure accepted work, not effort spent.</w:t>
      </w:r>
      <w:r>
        <w:t xml:space="preserve"> They diverge quietly and only one of them predicts a date.</w:t>
      </w:r>
    </w:p>
    <w:p>
      <w:r>
        <w:rPr>
          <w:b/>
        </w:rPr>
        <w:t>Add up the changes.</w:t>
      </w:r>
      <w:r>
        <w:t xml:space="preserve"> Sponsors approve individually reasonable things. The aggregate is rarely what they intended, and they are generally grateful to see it.</w:t>
      </w:r>
    </w:p>
    <w:p>
      <w:r>
        <w:rPr>
          <w:b/>
        </w:rPr>
        <w:t>Treat decision latency as a project metric.</w:t>
      </w:r>
      <w:r>
        <w:t xml:space="preserve"> If the team waits nine days for answers, no delivery improvement changes the outcome.</w:t>
      </w:r>
    </w:p>
    <w:p>
      <w:r>
        <w:t xml:space="preserve">See </w:t>
      </w:r>
      <w:r>
        <w:rPr>
          <w:color w:val="7C3AED"/>
          <w:u w:val="single"/>
        </w:rPr>
        <w:t>project management</w:t>
      </w:r>
      <w:r>
        <w:rPr>
          <w:sz w:val="17"/>
        </w:rPr>
        <w:t xml:space="preserve"> (bvlogic.com/knowledge/project-management/)</w:t>
      </w:r>
      <w:r>
        <w:t xml:space="preserve">, the </w:t>
      </w:r>
      <w:r>
        <w:rPr>
          <w:color w:val="7C3AED"/>
          <w:u w:val="single"/>
        </w:rPr>
        <w:t>health check</w:t>
      </w:r>
      <w:r>
        <w:rPr>
          <w:sz w:val="17"/>
        </w:rPr>
        <w:t xml:space="preserve"> (bvlogic.com/knowledge/project-management/checklist/)</w:t>
      </w:r>
      <w:r>
        <w:t xml:space="preserve">, and the </w:t>
      </w:r>
      <w:r>
        <w:rPr>
          <w:color w:val="7C3AED"/>
          <w:u w:val="single"/>
        </w:rPr>
        <w:t>status report template</w:t>
      </w:r>
      <w:r>
        <w:rPr>
          <w:sz w:val="17"/>
        </w:rPr>
        <w:t xml:space="preserve"> (bvlogic.com/knowledge/project-management/template/)</w:t>
      </w:r>
      <w:r>
        <w:t xml:space="preserve"> built so these numbers appear without anyone volunteering them.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 Health Check That Changed the Outcome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Health Check That Changed the Outcome</dc:title>
  <dc:subject/>
  <dc:creator>BvLogic</dc:creator>
  <cp:keywords>BvLogic, Example, enterprise AI, A Health Check That Changed the Outcome</cp:keywords>
  <dc:description/>
  <cp:lastModifiedBy/>
  <cp:revision>1</cp:revision>
  <dcterms:created xsi:type="dcterms:W3CDTF">2013-12-23T23:15:00Z</dcterms:created>
  <dcterms:modified xsi:type="dcterms:W3CDTF">2013-12-23T23:15:00Z</dcterms:modified>
  <cp:category>Example</cp:category>
  <dc:language>en-GB</dc:language>
</cp:coreProperties>
</file>