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Bdr>
          <w:bottom w:val="single" w:sz="8" w:space="4" w:color="7C3AED"/>
        </w:pBdr>
      </w:pPr>
      <w:r>
        <w:rPr>
          <w:rFonts w:ascii="Georgia" w:hAnsi="Georgia"/>
          <w:b/>
          <w:color w:val="7C3AED"/>
          <w:sz w:val="44"/>
        </w:rPr>
        <w:t>BvLogic</w:t>
      </w:r>
    </w:p>
    <w:p>
      <w:pPr>
        <w:spacing w:before="720"/>
      </w:pPr>
      <w:r>
        <w:rPr>
          <w:b/>
          <w:color w:val="5B6471"/>
          <w:sz w:val="18"/>
        </w:rPr>
        <w:t>TEMPLATE</w:t>
      </w:r>
    </w:p>
    <w:p>
      <w:pPr>
        <w:spacing w:after="160"/>
      </w:pPr>
      <w:r>
        <w:rPr>
          <w:rFonts w:ascii="Georgia" w:hAnsi="Georgia"/>
          <w:b/>
          <w:color w:val="0F141A"/>
          <w:sz w:val="56"/>
        </w:rPr>
        <w:t>PMO: the working templates</w:t>
      </w:r>
    </w:p>
    <w:tbl>
      <w:tblPr>
        <w:tblStyle w:val="TableGrid"/>
        <w:tblW w:type="auto" w:w="0"/>
        <w:jc w:val="left"/>
        <w:tblLook w:firstColumn="1" w:firstRow="1" w:lastColumn="0" w:lastRow="0" w:noHBand="0" w:noVBand="1" w:val="04A0"/>
      </w:tblPr>
      <w:tblGrid>
        <w:gridCol w:w="4706"/>
        <w:gridCol w:w="4706"/>
      </w:tblGrid>
      <w:tr>
        <w:tc>
          <w:tcPr>
            <w:tcW w:type="dxa" w:w="2551"/>
            <w:shd w:val="clear" w:color="auto" w:fill="F1EAFE"/>
          </w:tcPr>
          <w:p>
            <w:r/>
            <w:r>
              <w:rPr>
                <w:b/>
                <w:sz w:val="18"/>
              </w:rPr>
              <w:t>Document ID</w:t>
            </w:r>
          </w:p>
        </w:tc>
        <w:tc>
          <w:tcPr>
            <w:tcW w:type="dxa" w:w="6520"/>
          </w:tcPr>
          <w:p>
            <w:r/>
            <w:r>
              <w:rPr>
                <w:sz w:val="18"/>
              </w:rPr>
              <w:t>BVL-1722BD</w:t>
            </w:r>
          </w:p>
        </w:tc>
      </w:tr>
      <w:tr>
        <w:tc>
          <w:tcPr>
            <w:tcW w:type="dxa" w:w="2551"/>
            <w:shd w:val="clear" w:color="auto" w:fill="F1EAFE"/>
          </w:tcPr>
          <w:p>
            <w:r/>
            <w:r>
              <w:rPr>
                <w:b/>
                <w:sz w:val="18"/>
              </w:rPr>
              <w:t>Version</w:t>
            </w:r>
          </w:p>
        </w:tc>
        <w:tc>
          <w:tcPr>
            <w:tcW w:type="dxa" w:w="6520"/>
          </w:tcPr>
          <w:p>
            <w:r/>
            <w:r>
              <w:rPr>
                <w:sz w:val="18"/>
              </w:rPr>
              <w:t>1.0</w:t>
            </w:r>
          </w:p>
        </w:tc>
      </w:tr>
      <w:tr>
        <w:tc>
          <w:tcPr>
            <w:tcW w:type="dxa" w:w="2551"/>
            <w:shd w:val="clear" w:color="auto" w:fill="F1EAFE"/>
          </w:tcPr>
          <w:p>
            <w:r/>
            <w:r>
              <w:rPr>
                <w:b/>
                <w:sz w:val="18"/>
              </w:rPr>
              <w:t>Status</w:t>
            </w:r>
          </w:p>
        </w:tc>
        <w:tc>
          <w:tcPr>
            <w:tcW w:type="dxa" w:w="6520"/>
          </w:tcPr>
          <w:p>
            <w:r/>
            <w:r>
              <w:rPr>
                <w:sz w:val="18"/>
              </w:rPr>
              <w:t>Published</w:t>
            </w:r>
          </w:p>
        </w:tc>
      </w:tr>
      <w:tr>
        <w:tc>
          <w:tcPr>
            <w:tcW w:type="dxa" w:w="2551"/>
            <w:shd w:val="clear" w:color="auto" w:fill="F1EAFE"/>
          </w:tcPr>
          <w:p>
            <w:r/>
            <w:r>
              <w:rPr>
                <w:b/>
                <w:sz w:val="18"/>
              </w:rPr>
              <w:t>Owner</w:t>
            </w:r>
          </w:p>
        </w:tc>
        <w:tc>
          <w:tcPr>
            <w:tcW w:type="dxa" w:w="6520"/>
          </w:tcPr>
          <w:p>
            <w:r/>
            <w:r>
              <w:rPr>
                <w:sz w:val="18"/>
              </w:rPr>
              <w:t>BvLogic Knowledge Management</w:t>
            </w:r>
          </w:p>
        </w:tc>
      </w:tr>
      <w:tr>
        <w:tc>
          <w:tcPr>
            <w:tcW w:type="dxa" w:w="2551"/>
            <w:shd w:val="clear" w:color="auto" w:fill="F1EAFE"/>
          </w:tcPr>
          <w:p>
            <w:r/>
            <w:r>
              <w:rPr>
                <w:b/>
                <w:sz w:val="18"/>
              </w:rPr>
              <w:t>Classification</w:t>
            </w:r>
          </w:p>
        </w:tc>
        <w:tc>
          <w:tcPr>
            <w:tcW w:type="dxa" w:w="6520"/>
          </w:tcPr>
          <w:p>
            <w:r/>
            <w:r>
              <w:rPr>
                <w:sz w:val="18"/>
              </w:rPr>
              <w:t>Public</w:t>
            </w:r>
          </w:p>
        </w:tc>
      </w:tr>
      <w:tr>
        <w:tc>
          <w:tcPr>
            <w:tcW w:type="dxa" w:w="2551"/>
            <w:shd w:val="clear" w:color="auto" w:fill="F1EAFE"/>
          </w:tcPr>
          <w:p>
            <w:r/>
            <w:r>
              <w:rPr>
                <w:b/>
                <w:sz w:val="18"/>
              </w:rPr>
              <w:t>Issued</w:t>
            </w:r>
          </w:p>
        </w:tc>
        <w:tc>
          <w:tcPr>
            <w:tcW w:type="dxa" w:w="6520"/>
          </w:tcPr>
          <w:p>
            <w:r/>
            <w:r>
              <w:rPr>
                <w:sz w:val="18"/>
              </w:rPr>
              <w:t>10 August 2026</w:t>
            </w:r>
          </w:p>
        </w:tc>
      </w:tr>
      <w:tr>
        <w:tc>
          <w:tcPr>
            <w:tcW w:type="dxa" w:w="2551"/>
            <w:shd w:val="clear" w:color="auto" w:fill="F1EAFE"/>
          </w:tcPr>
          <w:p>
            <w:r/>
            <w:r>
              <w:rPr>
                <w:b/>
                <w:sz w:val="18"/>
              </w:rPr>
              <w:t>Next review</w:t>
            </w:r>
          </w:p>
        </w:tc>
        <w:tc>
          <w:tcPr>
            <w:tcW w:type="dxa" w:w="6520"/>
          </w:tcPr>
          <w:p>
            <w:r/>
            <w:r>
              <w:rPr>
                <w:sz w:val="18"/>
              </w:rPr>
              <w:t>10 August 2027</w:t>
            </w:r>
          </w:p>
        </w:tc>
      </w:tr>
      <w:tr>
        <w:tc>
          <w:tcPr>
            <w:tcW w:type="dxa" w:w="2551"/>
            <w:shd w:val="clear" w:color="auto" w:fill="F1EAFE"/>
          </w:tcPr>
          <w:p>
            <w:r/>
            <w:r>
              <w:rPr>
                <w:b/>
                <w:sz w:val="18"/>
              </w:rPr>
              <w:t>Document type</w:t>
            </w:r>
          </w:p>
        </w:tc>
        <w:tc>
          <w:tcPr>
            <w:tcW w:type="dxa" w:w="6520"/>
          </w:tcPr>
          <w:p>
            <w:r/>
            <w:r>
              <w:rPr>
                <w:sz w:val="18"/>
              </w:rPr>
              <w:t>Template</w:t>
            </w:r>
          </w:p>
        </w:tc>
      </w:tr>
    </w:tbl>
    <w:p>
      <w:pPr>
        <w:sectPr>
          <w:headerReference w:type="default" r:id="rId9"/>
          <w:pgSz w:w="11906" w:h="16838"/>
          <w:pgMar w:top="1417" w:right="1247" w:bottom="1417" w:left="1247" w:header="680" w:footer="680" w:gutter="0"/>
          <w:cols w:space="720"/>
          <w:docGrid w:linePitch="360"/>
        </w:sectPr>
      </w:pPr>
    </w:p>
    <w:p>
      <w:r>
        <w:rPr>
          <w:rFonts w:ascii="Georgia" w:hAnsi="Georgia"/>
          <w:b/>
          <w:color w:val="7C3AED"/>
          <w:sz w:val="28"/>
        </w:rPr>
        <w:t>Contents</w:t>
      </w:r>
    </w:p>
    <w:p>
      <w:r>
        <w:fldChar w:fldCharType="begin"/>
      </w:r>
      <w:r>
        <w:instrText xml:space="preserve"> TOC \o "1-3" \h \z \u </w:instrText>
      </w:r>
      <w:r>
        <w:fldChar w:fldCharType="separate"/>
      </w:r>
      <w:r>
        <w:fldChar w:fldCharType="end"/>
      </w:r>
    </w:p>
    <w:p>
      <w:r>
        <w:br w:type="page"/>
      </w:r>
    </w:p>
    <w:p>
      <w:r>
        <w:t>Four documents, each short by design. A PMO template long enough to feel thorough is one that gets filled in once at kickoff and never again.</w:t>
      </w:r>
    </w:p>
    <w:p>
      <w:pPr>
        <w:pStyle w:val="Heading1"/>
      </w:pPr>
      <w:r>
        <w:t>1. Project baseline</w:t>
      </w:r>
    </w:p>
    <w:p>
      <w:r>
        <w:t>Completed once, at kickoff, then frozen.</w:t>
      </w:r>
    </w:p>
    <w:tbl>
      <w:tblPr>
        <w:tblStyle w:val="TableGrid"/>
        <w:tblW w:type="auto" w:w="0"/>
        <w:tblLook w:firstColumn="1" w:firstRow="1" w:lastColumn="0" w:lastRow="0" w:noHBand="0" w:noVBand="1" w:val="04A0"/>
      </w:tblPr>
      <w:tblGrid>
        <w:gridCol w:w="4706"/>
        <w:gridCol w:w="4706"/>
      </w:tblGrid>
      <w:tr>
        <w:trPr>
          <w:tblHeader w:val="true"/>
        </w:trPr>
        <w:tc>
          <w:tcPr>
            <w:tcW w:type="dxa" w:w="4706"/>
            <w:shd w:val="clear" w:color="auto" w:fill="F1EAFE"/>
          </w:tcPr>
          <w:p>
            <w:pPr>
              <w:spacing w:after="40"/>
            </w:pPr>
            <w:r>
              <w:rPr>
                <w:b/>
                <w:sz w:val="18"/>
              </w:rPr>
            </w:r>
            <w:r>
              <w:rPr>
                <w:b/>
                <w:sz w:val="18"/>
              </w:rPr>
              <w:t>Field</w:t>
            </w:r>
          </w:p>
        </w:tc>
        <w:tc>
          <w:tcPr>
            <w:tcW w:type="dxa" w:w="4706"/>
            <w:shd w:val="clear" w:color="auto" w:fill="F1EAFE"/>
          </w:tcPr>
          <w:p>
            <w:pPr>
              <w:spacing w:after="40"/>
            </w:pPr>
            <w:r>
              <w:rPr>
                <w:b/>
                <w:sz w:val="18"/>
              </w:rPr>
            </w:r>
            <w:r>
              <w:rPr>
                <w:b/>
                <w:sz w:val="18"/>
              </w:rPr>
              <w:t>Entry</w:t>
            </w:r>
          </w:p>
        </w:tc>
      </w:tr>
      <w:tr>
        <w:tc>
          <w:tcPr>
            <w:tcW w:type="dxa" w:w="4706"/>
          </w:tcPr>
          <w:p>
            <w:pPr>
              <w:spacing w:after="40"/>
            </w:pPr>
            <w:r>
              <w:rPr>
                <w:sz w:val="18"/>
              </w:rPr>
            </w:r>
            <w:r>
              <w:rPr>
                <w:sz w:val="18"/>
              </w:rPr>
              <w:t>Project</w:t>
            </w:r>
          </w:p>
        </w:tc>
        <w:tc>
          <w:tcPr>
            <w:tcW w:type="dxa" w:w="4706"/>
          </w:tcPr>
          <w:p>
            <w:pPr>
              <w:spacing w:after="40"/>
            </w:pPr>
            <w:r>
              <w:rPr>
                <w:sz w:val="18"/>
              </w:rPr>
            </w:r>
          </w:p>
        </w:tc>
      </w:tr>
      <w:tr>
        <w:tc>
          <w:tcPr>
            <w:tcW w:type="dxa" w:w="4706"/>
          </w:tcPr>
          <w:p>
            <w:pPr>
              <w:spacing w:after="40"/>
            </w:pPr>
            <w:r>
              <w:rPr>
                <w:sz w:val="18"/>
              </w:rPr>
            </w:r>
            <w:r>
              <w:rPr>
                <w:sz w:val="18"/>
              </w:rPr>
              <w:t>Accountable</w:t>
            </w:r>
          </w:p>
        </w:tc>
        <w:tc>
          <w:tcPr>
            <w:tcW w:type="dxa" w:w="4706"/>
          </w:tcPr>
          <w:p>
            <w:pPr>
              <w:spacing w:after="40"/>
            </w:pPr>
            <w:r>
              <w:rPr>
                <w:sz w:val="18"/>
              </w:rPr>
            </w:r>
            <w:r>
              <w:rPr>
                <w:sz w:val="18"/>
              </w:rPr>
              <w:t>[One name. Not a team]</w:t>
            </w:r>
          </w:p>
        </w:tc>
      </w:tr>
      <w:tr>
        <w:tc>
          <w:tcPr>
            <w:tcW w:type="dxa" w:w="4706"/>
          </w:tcPr>
          <w:p>
            <w:pPr>
              <w:spacing w:after="40"/>
            </w:pPr>
            <w:r>
              <w:rPr>
                <w:sz w:val="18"/>
              </w:rPr>
            </w:r>
            <w:r>
              <w:rPr>
                <w:sz w:val="18"/>
              </w:rPr>
              <w:t>Scope, in one paragraph</w:t>
            </w:r>
          </w:p>
        </w:tc>
        <w:tc>
          <w:tcPr>
            <w:tcW w:type="dxa" w:w="4706"/>
          </w:tcPr>
          <w:p>
            <w:pPr>
              <w:spacing w:after="40"/>
            </w:pPr>
            <w:r>
              <w:rPr>
                <w:sz w:val="18"/>
              </w:rPr>
            </w:r>
            <w:r>
              <w:rPr>
                <w:sz w:val="18"/>
              </w:rPr>
              <w:t>[What is included. Then, separately, what is explicitly not]</w:t>
            </w:r>
          </w:p>
        </w:tc>
      </w:tr>
      <w:tr>
        <w:tc>
          <w:tcPr>
            <w:tcW w:type="dxa" w:w="4706"/>
          </w:tcPr>
          <w:p>
            <w:pPr>
              <w:spacing w:after="40"/>
            </w:pPr>
            <w:r>
              <w:rPr>
                <w:sz w:val="18"/>
              </w:rPr>
            </w:r>
            <w:r>
              <w:rPr>
                <w:sz w:val="18"/>
              </w:rPr>
              <w:t>Out of scope</w:t>
            </w:r>
          </w:p>
        </w:tc>
        <w:tc>
          <w:tcPr>
            <w:tcW w:type="dxa" w:w="4706"/>
          </w:tcPr>
          <w:p>
            <w:pPr>
              <w:spacing w:after="40"/>
            </w:pPr>
            <w:r>
              <w:rPr>
                <w:sz w:val="18"/>
              </w:rPr>
            </w:r>
            <w:r>
              <w:rPr>
                <w:sz w:val="18"/>
              </w:rPr>
              <w:t>[The row that prevents the argument in month three]</w:t>
            </w:r>
          </w:p>
        </w:tc>
      </w:tr>
      <w:tr>
        <w:tc>
          <w:tcPr>
            <w:tcW w:type="dxa" w:w="4706"/>
          </w:tcPr>
          <w:p>
            <w:pPr>
              <w:spacing w:after="40"/>
            </w:pPr>
            <w:r>
              <w:rPr>
                <w:sz w:val="18"/>
              </w:rPr>
            </w:r>
            <w:r>
              <w:rPr>
                <w:sz w:val="18"/>
              </w:rPr>
              <w:t>Baseline date</w:t>
            </w:r>
          </w:p>
        </w:tc>
        <w:tc>
          <w:tcPr>
            <w:tcW w:type="dxa" w:w="4706"/>
          </w:tcPr>
          <w:p>
            <w:pPr>
              <w:spacing w:after="40"/>
            </w:pPr>
            <w:r>
              <w:rPr>
                <w:sz w:val="18"/>
              </w:rPr>
            </w:r>
          </w:p>
        </w:tc>
      </w:tr>
      <w:tr>
        <w:tc>
          <w:tcPr>
            <w:tcW w:type="dxa" w:w="4706"/>
          </w:tcPr>
          <w:p>
            <w:pPr>
              <w:spacing w:after="40"/>
            </w:pPr>
            <w:r>
              <w:rPr>
                <w:sz w:val="18"/>
              </w:rPr>
            </w:r>
            <w:r>
              <w:rPr>
                <w:sz w:val="18"/>
              </w:rPr>
              <w:t>Baseline budget</w:t>
            </w:r>
          </w:p>
        </w:tc>
        <w:tc>
          <w:tcPr>
            <w:tcW w:type="dxa" w:w="4706"/>
          </w:tcPr>
          <w:p>
            <w:pPr>
              <w:spacing w:after="40"/>
            </w:pPr>
            <w:r>
              <w:rPr>
                <w:sz w:val="18"/>
              </w:rPr>
            </w:r>
          </w:p>
        </w:tc>
      </w:tr>
      <w:tr>
        <w:tc>
          <w:tcPr>
            <w:tcW w:type="dxa" w:w="4706"/>
          </w:tcPr>
          <w:p>
            <w:pPr>
              <w:spacing w:after="40"/>
            </w:pPr>
            <w:r>
              <w:rPr>
                <w:sz w:val="18"/>
              </w:rPr>
            </w:r>
            <w:r>
              <w:rPr>
                <w:sz w:val="18"/>
              </w:rPr>
              <w:t>Success measure</w:t>
            </w:r>
          </w:p>
        </w:tc>
        <w:tc>
          <w:tcPr>
            <w:tcW w:type="dxa" w:w="4706"/>
          </w:tcPr>
          <w:p>
            <w:pPr>
              <w:spacing w:after="40"/>
            </w:pPr>
            <w:r>
              <w:rPr>
                <w:sz w:val="18"/>
              </w:rPr>
            </w:r>
            <w:r>
              <w:rPr>
                <w:sz w:val="18"/>
              </w:rPr>
              <w:t>[How we will know it worked, stated so it can be checked]</w:t>
            </w:r>
          </w:p>
        </w:tc>
      </w:tr>
      <w:tr>
        <w:tc>
          <w:tcPr>
            <w:tcW w:type="dxa" w:w="4706"/>
          </w:tcPr>
          <w:p>
            <w:pPr>
              <w:spacing w:after="40"/>
            </w:pPr>
            <w:r>
              <w:rPr>
                <w:sz w:val="18"/>
              </w:rPr>
            </w:r>
            <w:r>
              <w:rPr>
                <w:sz w:val="18"/>
              </w:rPr>
              <w:t>Key dependencies</w:t>
            </w:r>
          </w:p>
        </w:tc>
        <w:tc>
          <w:tcPr>
            <w:tcW w:type="dxa" w:w="4706"/>
          </w:tcPr>
          <w:p>
            <w:pPr>
              <w:spacing w:after="40"/>
            </w:pPr>
            <w:r>
              <w:rPr>
                <w:sz w:val="18"/>
              </w:rPr>
            </w:r>
            <w:r>
              <w:rPr>
                <w:sz w:val="18"/>
              </w:rPr>
              <w:t>[With the owning team named, and acknowledged separately]</w:t>
            </w:r>
          </w:p>
        </w:tc>
      </w:tr>
      <w:tr>
        <w:tc>
          <w:tcPr>
            <w:tcW w:type="dxa" w:w="4706"/>
          </w:tcPr>
          <w:p>
            <w:pPr>
              <w:spacing w:after="40"/>
            </w:pPr>
            <w:r>
              <w:rPr>
                <w:sz w:val="18"/>
              </w:rPr>
            </w:r>
            <w:r>
              <w:rPr>
                <w:sz w:val="18"/>
              </w:rPr>
              <w:t>Frozen on</w:t>
            </w:r>
          </w:p>
        </w:tc>
        <w:tc>
          <w:tcPr>
            <w:tcW w:type="dxa" w:w="4706"/>
          </w:tcPr>
          <w:p>
            <w:pPr>
              <w:spacing w:after="40"/>
            </w:pPr>
            <w:r>
              <w:rPr>
                <w:sz w:val="18"/>
              </w:rPr>
            </w:r>
            <w:r>
              <w:rPr>
                <w:sz w:val="18"/>
              </w:rPr>
              <w:t>[Date. Not adjusted. Re-baselining is a separate, authorised act]</w:t>
            </w:r>
          </w:p>
        </w:tc>
      </w:tr>
    </w:tbl>
    <w:p>
      <w:pPr>
        <w:spacing w:after="40"/>
      </w:pPr>
    </w:p>
    <w:p>
      <w:pPr>
        <w:pStyle w:val="Heading1"/>
      </w:pPr>
      <w:r>
        <w:t>2. Daily prediction card</w:t>
      </w:r>
    </w:p>
    <w:p>
      <w:r>
        <w:t>Generated, not written. Shown here so the shape is agreed and every field carries its basis.</w:t>
      </w:r>
    </w:p>
    <w:tbl>
      <w:tblPr>
        <w:tblStyle w:val="TableGrid"/>
        <w:tblW w:type="auto" w:w="0"/>
        <w:tblLook w:firstColumn="1" w:firstRow="1" w:lastColumn="0" w:lastRow="0" w:noHBand="0" w:noVBand="1" w:val="04A0"/>
      </w:tblPr>
      <w:tblGrid>
        <w:gridCol w:w="4706"/>
        <w:gridCol w:w="4706"/>
      </w:tblGrid>
      <w:tr>
        <w:trPr>
          <w:tblHeader w:val="true"/>
        </w:trPr>
        <w:tc>
          <w:tcPr>
            <w:tcW w:type="dxa" w:w="4706"/>
            <w:shd w:val="clear" w:color="auto" w:fill="F1EAFE"/>
          </w:tcPr>
          <w:p>
            <w:pPr>
              <w:spacing w:after="40"/>
            </w:pPr>
            <w:r>
              <w:rPr>
                <w:b/>
                <w:sz w:val="18"/>
              </w:rPr>
            </w:r>
            <w:r>
              <w:rPr>
                <w:b/>
                <w:sz w:val="18"/>
              </w:rPr>
              <w:t>Project</w:t>
            </w:r>
          </w:p>
        </w:tc>
        <w:tc>
          <w:tcPr>
            <w:tcW w:type="dxa" w:w="4706"/>
            <w:shd w:val="clear" w:color="auto" w:fill="F1EAFE"/>
          </w:tcPr>
          <w:p>
            <w:pPr>
              <w:spacing w:after="40"/>
            </w:pPr>
            <w:r>
              <w:rPr>
                <w:b/>
                <w:sz w:val="18"/>
              </w:rPr>
            </w:r>
            <w:r>
              <w:rPr>
                <w:b/>
                <w:sz w:val="18"/>
              </w:rPr>
              <w:t>Project X</w:t>
            </w:r>
          </w:p>
        </w:tc>
      </w:tr>
      <w:tr>
        <w:tc>
          <w:tcPr>
            <w:tcW w:type="dxa" w:w="4706"/>
          </w:tcPr>
          <w:p>
            <w:pPr>
              <w:spacing w:after="40"/>
            </w:pPr>
            <w:r>
              <w:rPr>
                <w:sz w:val="18"/>
              </w:rPr>
            </w:r>
            <w:r>
              <w:rPr>
                <w:b/>
                <w:sz w:val="18"/>
              </w:rPr>
              <w:t>Complete</w:t>
            </w:r>
          </w:p>
        </w:tc>
        <w:tc>
          <w:tcPr>
            <w:tcW w:type="dxa" w:w="4706"/>
          </w:tcPr>
          <w:p>
            <w:pPr>
              <w:spacing w:after="40"/>
            </w:pPr>
            <w:r>
              <w:rPr>
                <w:sz w:val="18"/>
              </w:rPr>
            </w:r>
            <w:r>
              <w:rPr>
                <w:sz w:val="18"/>
              </w:rPr>
              <w:t xml:space="preserve">72% </w:t>
            </w:r>
            <w:r>
              <w:rPr>
                <w:i/>
                <w:sz w:val="18"/>
              </w:rPr>
              <w:t>(by delivered scope, not tasks closed)</w:t>
            </w:r>
          </w:p>
        </w:tc>
      </w:tr>
      <w:tr>
        <w:tc>
          <w:tcPr>
            <w:tcW w:type="dxa" w:w="4706"/>
          </w:tcPr>
          <w:p>
            <w:pPr>
              <w:spacing w:after="40"/>
            </w:pPr>
            <w:r>
              <w:rPr>
                <w:sz w:val="18"/>
              </w:rPr>
            </w:r>
            <w:r>
              <w:rPr>
                <w:b/>
                <w:sz w:val="18"/>
              </w:rPr>
              <w:t>Schedule risk</w:t>
            </w:r>
          </w:p>
        </w:tc>
        <w:tc>
          <w:tcPr>
            <w:tcW w:type="dxa" w:w="4706"/>
          </w:tcPr>
          <w:p>
            <w:pPr>
              <w:spacing w:after="40"/>
            </w:pPr>
            <w:r>
              <w:rPr>
                <w:sz w:val="18"/>
              </w:rPr>
            </w:r>
            <w:r>
              <w:rPr>
                <w:b/>
                <w:sz w:val="18"/>
              </w:rPr>
              <w:t>HIGH</w:t>
            </w:r>
            <w:r>
              <w:rPr>
                <w:sz w:val="18"/>
              </w:rPr>
              <w:t xml:space="preserve"> </w:t>
            </w:r>
            <w:r>
              <w:rPr>
                <w:i/>
                <w:sz w:val="18"/>
              </w:rPr>
              <w:t>because 3 of the last 5 milestones slipped and the remaining critical work sits with one person</w:t>
            </w:r>
          </w:p>
        </w:tc>
      </w:tr>
      <w:tr>
        <w:tc>
          <w:tcPr>
            <w:tcW w:type="dxa" w:w="4706"/>
          </w:tcPr>
          <w:p>
            <w:pPr>
              <w:spacing w:after="40"/>
            </w:pPr>
            <w:r>
              <w:rPr>
                <w:sz w:val="18"/>
              </w:rPr>
            </w:r>
            <w:r>
              <w:rPr>
                <w:b/>
                <w:sz w:val="18"/>
              </w:rPr>
              <w:t>Resource risk</w:t>
            </w:r>
          </w:p>
        </w:tc>
        <w:tc>
          <w:tcPr>
            <w:tcW w:type="dxa" w:w="4706"/>
          </w:tcPr>
          <w:p>
            <w:pPr>
              <w:spacing w:after="40"/>
            </w:pPr>
            <w:r>
              <w:rPr>
                <w:sz w:val="18"/>
              </w:rPr>
            </w:r>
            <w:r>
              <w:rPr>
                <w:b/>
                <w:sz w:val="18"/>
              </w:rPr>
              <w:t>MEDIUM</w:t>
            </w:r>
            <w:r>
              <w:rPr>
                <w:sz w:val="18"/>
              </w:rPr>
              <w:t xml:space="preserve"> </w:t>
            </w:r>
            <w:r>
              <w:rPr>
                <w:i/>
                <w:sz w:val="18"/>
              </w:rPr>
              <w:t>because that person is also on the critical path of one other project</w:t>
            </w:r>
          </w:p>
        </w:tc>
      </w:tr>
      <w:tr>
        <w:tc>
          <w:tcPr>
            <w:tcW w:type="dxa" w:w="4706"/>
          </w:tcPr>
          <w:p>
            <w:pPr>
              <w:spacing w:after="40"/>
            </w:pPr>
            <w:r>
              <w:rPr>
                <w:sz w:val="18"/>
              </w:rPr>
            </w:r>
            <w:r>
              <w:rPr>
                <w:b/>
                <w:sz w:val="18"/>
              </w:rPr>
              <w:t>Budget variance</w:t>
            </w:r>
          </w:p>
        </w:tc>
        <w:tc>
          <w:tcPr>
            <w:tcW w:type="dxa" w:w="4706"/>
          </w:tcPr>
          <w:p>
            <w:pPr>
              <w:spacing w:after="40"/>
            </w:pPr>
            <w:r>
              <w:rPr>
                <w:sz w:val="18"/>
              </w:rPr>
            </w:r>
            <w:r>
              <w:rPr>
                <w:b/>
                <w:sz w:val="18"/>
              </w:rPr>
              <w:t>+8%</w:t>
            </w:r>
            <w:r>
              <w:rPr>
                <w:sz w:val="18"/>
              </w:rPr>
              <w:t xml:space="preserve"> </w:t>
            </w:r>
            <w:r>
              <w:rPr>
                <w:i/>
                <w:sz w:val="18"/>
              </w:rPr>
              <w:t>driven by contractor hours in weeks 4 to 6</w:t>
            </w:r>
          </w:p>
        </w:tc>
      </w:tr>
      <w:tr>
        <w:tc>
          <w:tcPr>
            <w:tcW w:type="dxa" w:w="4706"/>
          </w:tcPr>
          <w:p>
            <w:pPr>
              <w:spacing w:after="40"/>
            </w:pPr>
            <w:r>
              <w:rPr>
                <w:sz w:val="18"/>
              </w:rPr>
            </w:r>
            <w:r>
              <w:rPr>
                <w:b/>
                <w:sz w:val="18"/>
              </w:rPr>
              <w:t>Critical dependency</w:t>
            </w:r>
          </w:p>
        </w:tc>
        <w:tc>
          <w:tcPr>
            <w:tcW w:type="dxa" w:w="4706"/>
          </w:tcPr>
          <w:p>
            <w:pPr>
              <w:spacing w:after="40"/>
            </w:pPr>
            <w:r>
              <w:rPr>
                <w:sz w:val="18"/>
              </w:rPr>
            </w:r>
            <w:r>
              <w:rPr>
                <w:b/>
                <w:sz w:val="18"/>
              </w:rPr>
              <w:t>API integration</w:t>
            </w:r>
            <w:r>
              <w:rPr>
                <w:sz w:val="18"/>
              </w:rPr>
              <w:t>, owed by another team, acknowledged 12 days ago</w:t>
            </w:r>
          </w:p>
        </w:tc>
      </w:tr>
      <w:tr>
        <w:tc>
          <w:tcPr>
            <w:tcW w:type="dxa" w:w="4706"/>
          </w:tcPr>
          <w:p>
            <w:pPr>
              <w:spacing w:after="40"/>
            </w:pPr>
            <w:r>
              <w:rPr>
                <w:sz w:val="18"/>
              </w:rPr>
            </w:r>
            <w:r>
              <w:rPr>
                <w:b/>
                <w:sz w:val="18"/>
              </w:rPr>
              <w:t>Predicted delay</w:t>
            </w:r>
          </w:p>
        </w:tc>
        <w:tc>
          <w:tcPr>
            <w:tcW w:type="dxa" w:w="4706"/>
          </w:tcPr>
          <w:p>
            <w:pPr>
              <w:spacing w:after="40"/>
            </w:pPr>
            <w:r>
              <w:rPr>
                <w:sz w:val="18"/>
              </w:rPr>
            </w:r>
            <w:r>
              <w:rPr>
                <w:b/>
                <w:sz w:val="18"/>
              </w:rPr>
              <w:t>6 days</w:t>
            </w:r>
            <w:r>
              <w:rPr>
                <w:sz w:val="18"/>
              </w:rPr>
              <w:t xml:space="preserve"> </w:t>
            </w:r>
            <w:r>
              <w:rPr>
                <w:i/>
                <w:sz w:val="18"/>
              </w:rPr>
              <w:t>at current throughput</w:t>
            </w:r>
          </w:p>
        </w:tc>
      </w:tr>
      <w:tr>
        <w:tc>
          <w:tcPr>
            <w:tcW w:type="dxa" w:w="4706"/>
          </w:tcPr>
          <w:p>
            <w:pPr>
              <w:spacing w:after="40"/>
            </w:pPr>
            <w:r>
              <w:rPr>
                <w:sz w:val="18"/>
              </w:rPr>
            </w:r>
            <w:r>
              <w:rPr>
                <w:b/>
                <w:sz w:val="18"/>
              </w:rPr>
              <w:t>Changed since yesterday</w:t>
            </w:r>
          </w:p>
        </w:tc>
        <w:tc>
          <w:tcPr>
            <w:tcW w:type="dxa" w:w="4706"/>
          </w:tcPr>
          <w:p>
            <w:pPr>
              <w:spacing w:after="40"/>
            </w:pPr>
            <w:r>
              <w:rPr>
                <w:sz w:val="18"/>
              </w:rPr>
            </w:r>
            <w:r>
              <w:rPr>
                <w:sz w:val="18"/>
              </w:rPr>
              <w:t>[Only this is read on a normal day]</w:t>
            </w:r>
          </w:p>
        </w:tc>
      </w:tr>
    </w:tbl>
    <w:p>
      <w:pPr>
        <w:spacing w:after="40"/>
      </w:pPr>
    </w:p>
    <w:p>
      <w:r>
        <w:rPr>
          <w:b/>
        </w:rPr>
        <w:t>No risk level ships without its reason.</w:t>
      </w:r>
      <w:r>
        <w:t xml:space="preserve"> "Schedule risk HIGH" is unactionable on its own, and a level nobody can interrogate is one people learn to scroll past.</w:t>
      </w:r>
    </w:p>
    <w:p>
      <w:pPr>
        <w:pStyle w:val="Heading1"/>
      </w:pPr>
      <w:r>
        <w:t>3. Intervention record</w:t>
      </w:r>
    </w:p>
    <w:p>
      <w:r>
        <w:t>One per HIGH risk. Completed within one working day.</w:t>
      </w:r>
    </w:p>
    <w:tbl>
      <w:tblPr>
        <w:tblStyle w:val="TableGrid"/>
        <w:tblW w:type="auto" w:w="0"/>
        <w:tblLook w:firstColumn="1" w:firstRow="1" w:lastColumn="0" w:lastRow="0" w:noHBand="0" w:noVBand="1" w:val="04A0"/>
      </w:tblPr>
      <w:tblGrid>
        <w:gridCol w:w="4706"/>
        <w:gridCol w:w="4706"/>
      </w:tblGrid>
      <w:tr>
        <w:trPr>
          <w:tblHeader w:val="true"/>
        </w:trPr>
        <w:tc>
          <w:tcPr>
            <w:tcW w:type="dxa" w:w="4706"/>
            <w:shd w:val="clear" w:color="auto" w:fill="F1EAFE"/>
          </w:tcPr>
          <w:p>
            <w:pPr>
              <w:spacing w:after="40"/>
            </w:pPr>
            <w:r>
              <w:rPr>
                <w:b/>
                <w:sz w:val="18"/>
              </w:rPr>
            </w:r>
            <w:r>
              <w:rPr>
                <w:b/>
                <w:sz w:val="18"/>
              </w:rPr>
              <w:t>Field</w:t>
            </w:r>
          </w:p>
        </w:tc>
        <w:tc>
          <w:tcPr>
            <w:tcW w:type="dxa" w:w="4706"/>
            <w:shd w:val="clear" w:color="auto" w:fill="F1EAFE"/>
          </w:tcPr>
          <w:p>
            <w:pPr>
              <w:spacing w:after="40"/>
            </w:pPr>
            <w:r>
              <w:rPr>
                <w:b/>
                <w:sz w:val="18"/>
              </w:rPr>
            </w:r>
            <w:r>
              <w:rPr>
                <w:b/>
                <w:sz w:val="18"/>
              </w:rPr>
              <w:t>Entry</w:t>
            </w:r>
          </w:p>
        </w:tc>
      </w:tr>
      <w:tr>
        <w:tc>
          <w:tcPr>
            <w:tcW w:type="dxa" w:w="4706"/>
          </w:tcPr>
          <w:p>
            <w:pPr>
              <w:spacing w:after="40"/>
            </w:pPr>
            <w:r>
              <w:rPr>
                <w:sz w:val="18"/>
              </w:rPr>
            </w:r>
            <w:r>
              <w:rPr>
                <w:sz w:val="18"/>
              </w:rPr>
              <w:t>Risk</w:t>
            </w:r>
          </w:p>
        </w:tc>
        <w:tc>
          <w:tcPr>
            <w:tcW w:type="dxa" w:w="4706"/>
          </w:tcPr>
          <w:p>
            <w:pPr>
              <w:spacing w:after="40"/>
            </w:pPr>
            <w:r>
              <w:rPr>
                <w:sz w:val="18"/>
              </w:rPr>
            </w:r>
          </w:p>
        </w:tc>
      </w:tr>
      <w:tr>
        <w:tc>
          <w:tcPr>
            <w:tcW w:type="dxa" w:w="4706"/>
          </w:tcPr>
          <w:p>
            <w:pPr>
              <w:spacing w:after="40"/>
            </w:pPr>
            <w:r>
              <w:rPr>
                <w:sz w:val="18"/>
              </w:rPr>
            </w:r>
            <w:r>
              <w:rPr>
                <w:sz w:val="18"/>
              </w:rPr>
              <w:t>Raised on</w:t>
            </w:r>
          </w:p>
        </w:tc>
        <w:tc>
          <w:tcPr>
            <w:tcW w:type="dxa" w:w="4706"/>
          </w:tcPr>
          <w:p>
            <w:pPr>
              <w:spacing w:after="40"/>
            </w:pPr>
            <w:r>
              <w:rPr>
                <w:sz w:val="18"/>
              </w:rPr>
            </w:r>
          </w:p>
        </w:tc>
      </w:tr>
      <w:tr>
        <w:tc>
          <w:tcPr>
            <w:tcW w:type="dxa" w:w="4706"/>
          </w:tcPr>
          <w:p>
            <w:pPr>
              <w:spacing w:after="40"/>
            </w:pPr>
            <w:r>
              <w:rPr>
                <w:sz w:val="18"/>
              </w:rPr>
            </w:r>
            <w:r>
              <w:rPr>
                <w:sz w:val="18"/>
              </w:rPr>
              <w:t>Response</w:t>
            </w:r>
          </w:p>
        </w:tc>
        <w:tc>
          <w:tcPr>
            <w:tcW w:type="dxa" w:w="4706"/>
          </w:tcPr>
          <w:p>
            <w:pPr>
              <w:spacing w:after="40"/>
            </w:pPr>
            <w:r>
              <w:rPr>
                <w:sz w:val="18"/>
              </w:rPr>
            </w:r>
            <w:r>
              <w:rPr>
                <w:sz w:val="18"/>
              </w:rPr>
              <w:t xml:space="preserve">[Act / Accept / Escalate / </w:t>
            </w:r>
            <w:r>
              <w:rPr>
                <w:b/>
                <w:sz w:val="18"/>
              </w:rPr>
              <w:t>Reject</w:t>
            </w:r>
            <w:r>
              <w:rPr>
                <w:sz w:val="18"/>
              </w:rPr>
              <w:t>]</w:t>
            </w:r>
          </w:p>
        </w:tc>
      </w:tr>
      <w:tr>
        <w:tc>
          <w:tcPr>
            <w:tcW w:type="dxa" w:w="4706"/>
          </w:tcPr>
          <w:p>
            <w:pPr>
              <w:spacing w:after="40"/>
            </w:pPr>
            <w:r>
              <w:rPr>
                <w:sz w:val="18"/>
              </w:rPr>
            </w:r>
            <w:r>
              <w:rPr>
                <w:sz w:val="18"/>
              </w:rPr>
              <w:t>If Act</w:t>
            </w:r>
          </w:p>
        </w:tc>
        <w:tc>
          <w:tcPr>
            <w:tcW w:type="dxa" w:w="4706"/>
          </w:tcPr>
          <w:p>
            <w:pPr>
              <w:spacing w:after="40"/>
            </w:pPr>
            <w:r>
              <w:rPr>
                <w:sz w:val="18"/>
              </w:rPr>
            </w:r>
            <w:r>
              <w:rPr>
                <w:sz w:val="18"/>
              </w:rPr>
              <w:t>[What changed: scope, sequence, resource or date]</w:t>
            </w:r>
          </w:p>
        </w:tc>
      </w:tr>
      <w:tr>
        <w:tc>
          <w:tcPr>
            <w:tcW w:type="dxa" w:w="4706"/>
          </w:tcPr>
          <w:p>
            <w:pPr>
              <w:spacing w:after="40"/>
            </w:pPr>
            <w:r>
              <w:rPr>
                <w:sz w:val="18"/>
              </w:rPr>
            </w:r>
            <w:r>
              <w:rPr>
                <w:sz w:val="18"/>
              </w:rPr>
              <w:t>If Accept</w:t>
            </w:r>
          </w:p>
        </w:tc>
        <w:tc>
          <w:tcPr>
            <w:tcW w:type="dxa" w:w="4706"/>
          </w:tcPr>
          <w:p>
            <w:pPr>
              <w:spacing w:after="40"/>
            </w:pPr>
            <w:r>
              <w:rPr>
                <w:sz w:val="18"/>
              </w:rPr>
            </w:r>
            <w:r>
              <w:rPr>
                <w:sz w:val="18"/>
              </w:rPr>
              <w:t>[Who accepted, and the date it is revisited]</w:t>
            </w:r>
          </w:p>
        </w:tc>
      </w:tr>
      <w:tr>
        <w:tc>
          <w:tcPr>
            <w:tcW w:type="dxa" w:w="4706"/>
          </w:tcPr>
          <w:p>
            <w:pPr>
              <w:spacing w:after="40"/>
            </w:pPr>
            <w:r>
              <w:rPr>
                <w:sz w:val="18"/>
              </w:rPr>
            </w:r>
            <w:r>
              <w:rPr>
                <w:sz w:val="18"/>
              </w:rPr>
              <w:t>If Escalate</w:t>
            </w:r>
          </w:p>
        </w:tc>
        <w:tc>
          <w:tcPr>
            <w:tcW w:type="dxa" w:w="4706"/>
          </w:tcPr>
          <w:p>
            <w:pPr>
              <w:spacing w:after="40"/>
            </w:pPr>
            <w:r>
              <w:rPr>
                <w:sz w:val="18"/>
              </w:rPr>
            </w:r>
            <w:r>
              <w:rPr>
                <w:sz w:val="18"/>
              </w:rPr>
              <w:t>[To whom]</w:t>
            </w:r>
          </w:p>
        </w:tc>
      </w:tr>
      <w:tr>
        <w:tc>
          <w:tcPr>
            <w:tcW w:type="dxa" w:w="4706"/>
          </w:tcPr>
          <w:p>
            <w:pPr>
              <w:spacing w:after="40"/>
            </w:pPr>
            <w:r>
              <w:rPr>
                <w:sz w:val="18"/>
              </w:rPr>
            </w:r>
            <w:r>
              <w:rPr>
                <w:sz w:val="18"/>
              </w:rPr>
              <w:t>If Reject</w:t>
            </w:r>
          </w:p>
        </w:tc>
        <w:tc>
          <w:tcPr>
            <w:tcW w:type="dxa" w:w="4706"/>
          </w:tcPr>
          <w:p>
            <w:pPr>
              <w:spacing w:after="40"/>
            </w:pPr>
            <w:r>
              <w:rPr>
                <w:sz w:val="18"/>
              </w:rPr>
            </w:r>
            <w:r>
              <w:rPr>
                <w:sz w:val="18"/>
              </w:rPr>
              <w:t>[Why the prediction is wrong. This feeds the engine and must stay easy to say]</w:t>
            </w:r>
          </w:p>
        </w:tc>
      </w:tr>
      <w:tr>
        <w:tc>
          <w:tcPr>
            <w:tcW w:type="dxa" w:w="4706"/>
          </w:tcPr>
          <w:p>
            <w:pPr>
              <w:spacing w:after="40"/>
            </w:pPr>
            <w:r>
              <w:rPr>
                <w:sz w:val="18"/>
              </w:rPr>
            </w:r>
            <w:r>
              <w:rPr>
                <w:sz w:val="18"/>
              </w:rPr>
              <w:t>Decided by</w:t>
            </w:r>
          </w:p>
        </w:tc>
        <w:tc>
          <w:tcPr>
            <w:tcW w:type="dxa" w:w="4706"/>
          </w:tcPr>
          <w:p>
            <w:pPr>
              <w:spacing w:after="40"/>
            </w:pPr>
            <w:r>
              <w:rPr>
                <w:sz w:val="18"/>
              </w:rPr>
            </w:r>
          </w:p>
        </w:tc>
      </w:tr>
      <w:tr>
        <w:tc>
          <w:tcPr>
            <w:tcW w:type="dxa" w:w="4706"/>
          </w:tcPr>
          <w:p>
            <w:pPr>
              <w:spacing w:after="40"/>
            </w:pPr>
            <w:r>
              <w:rPr>
                <w:sz w:val="18"/>
              </w:rPr>
            </w:r>
            <w:r>
              <w:rPr>
                <w:b/>
                <w:sz w:val="18"/>
              </w:rPr>
              <w:t>Effect, measured at +14 days</w:t>
            </w:r>
          </w:p>
        </w:tc>
        <w:tc>
          <w:tcPr>
            <w:tcW w:type="dxa" w:w="4706"/>
          </w:tcPr>
          <w:p>
            <w:pPr>
              <w:spacing w:after="40"/>
            </w:pPr>
            <w:r>
              <w:rPr>
                <w:sz w:val="18"/>
              </w:rPr>
            </w:r>
            <w:r>
              <w:rPr>
                <w:sz w:val="18"/>
              </w:rPr>
              <w:t>[Did the risk clear, hold, or materialise? This row is the one that gets skipped, and it is the only row that tells you whether interventions work]</w:t>
            </w:r>
          </w:p>
        </w:tc>
      </w:tr>
    </w:tbl>
    <w:p>
      <w:pPr>
        <w:spacing w:after="40"/>
      </w:pPr>
    </w:p>
    <w:p>
      <w:pPr>
        <w:pStyle w:val="Heading1"/>
      </w:pPr>
      <w:r>
        <w:t>4. Dependency acknowledgement</w:t>
      </w:r>
    </w:p>
    <w:tbl>
      <w:tblPr>
        <w:tblStyle w:val="TableGrid"/>
        <w:tblW w:type="auto" w:w="0"/>
        <w:tblLook w:firstColumn="1" w:firstRow="1" w:lastColumn="0" w:lastRow="0" w:noHBand="0" w:noVBand="1" w:val="04A0"/>
      </w:tblPr>
      <w:tblGrid>
        <w:gridCol w:w="4706"/>
        <w:gridCol w:w="4706"/>
      </w:tblGrid>
      <w:tr>
        <w:trPr>
          <w:tblHeader w:val="true"/>
        </w:trPr>
        <w:tc>
          <w:tcPr>
            <w:tcW w:type="dxa" w:w="4706"/>
            <w:shd w:val="clear" w:color="auto" w:fill="F1EAFE"/>
          </w:tcPr>
          <w:p>
            <w:pPr>
              <w:spacing w:after="40"/>
            </w:pPr>
            <w:r>
              <w:rPr>
                <w:b/>
                <w:sz w:val="18"/>
              </w:rPr>
            </w:r>
            <w:r>
              <w:rPr>
                <w:b/>
                <w:sz w:val="18"/>
              </w:rPr>
              <w:t>Field</w:t>
            </w:r>
          </w:p>
        </w:tc>
        <w:tc>
          <w:tcPr>
            <w:tcW w:type="dxa" w:w="4706"/>
            <w:shd w:val="clear" w:color="auto" w:fill="F1EAFE"/>
          </w:tcPr>
          <w:p>
            <w:pPr>
              <w:spacing w:after="40"/>
            </w:pPr>
            <w:r>
              <w:rPr>
                <w:b/>
                <w:sz w:val="18"/>
              </w:rPr>
            </w:r>
            <w:r>
              <w:rPr>
                <w:b/>
                <w:sz w:val="18"/>
              </w:rPr>
              <w:t>Entry</w:t>
            </w:r>
          </w:p>
        </w:tc>
      </w:tr>
      <w:tr>
        <w:tc>
          <w:tcPr>
            <w:tcW w:type="dxa" w:w="4706"/>
          </w:tcPr>
          <w:p>
            <w:pPr>
              <w:spacing w:after="40"/>
            </w:pPr>
            <w:r>
              <w:rPr>
                <w:sz w:val="18"/>
              </w:rPr>
            </w:r>
            <w:r>
              <w:rPr>
                <w:sz w:val="18"/>
              </w:rPr>
              <w:t>Depending project</w:t>
            </w:r>
          </w:p>
        </w:tc>
        <w:tc>
          <w:tcPr>
            <w:tcW w:type="dxa" w:w="4706"/>
          </w:tcPr>
          <w:p>
            <w:pPr>
              <w:spacing w:after="40"/>
            </w:pPr>
            <w:r>
              <w:rPr>
                <w:sz w:val="18"/>
              </w:rPr>
            </w:r>
          </w:p>
        </w:tc>
      </w:tr>
      <w:tr>
        <w:tc>
          <w:tcPr>
            <w:tcW w:type="dxa" w:w="4706"/>
          </w:tcPr>
          <w:p>
            <w:pPr>
              <w:spacing w:after="40"/>
            </w:pPr>
            <w:r>
              <w:rPr>
                <w:sz w:val="18"/>
              </w:rPr>
            </w:r>
            <w:r>
              <w:rPr>
                <w:sz w:val="18"/>
              </w:rPr>
              <w:t>Depended-upon team</w:t>
            </w:r>
          </w:p>
        </w:tc>
        <w:tc>
          <w:tcPr>
            <w:tcW w:type="dxa" w:w="4706"/>
          </w:tcPr>
          <w:p>
            <w:pPr>
              <w:spacing w:after="40"/>
            </w:pPr>
            <w:r>
              <w:rPr>
                <w:sz w:val="18"/>
              </w:rPr>
            </w:r>
          </w:p>
        </w:tc>
      </w:tr>
      <w:tr>
        <w:tc>
          <w:tcPr>
            <w:tcW w:type="dxa" w:w="4706"/>
          </w:tcPr>
          <w:p>
            <w:pPr>
              <w:spacing w:after="40"/>
            </w:pPr>
            <w:r>
              <w:rPr>
                <w:sz w:val="18"/>
              </w:rPr>
            </w:r>
            <w:r>
              <w:rPr>
                <w:sz w:val="18"/>
              </w:rPr>
              <w:t>What is needed</w:t>
            </w:r>
          </w:p>
        </w:tc>
        <w:tc>
          <w:tcPr>
            <w:tcW w:type="dxa" w:w="4706"/>
          </w:tcPr>
          <w:p>
            <w:pPr>
              <w:spacing w:after="40"/>
            </w:pPr>
            <w:r>
              <w:rPr>
                <w:sz w:val="18"/>
              </w:rPr>
            </w:r>
            <w:r>
              <w:rPr>
                <w:sz w:val="18"/>
              </w:rPr>
              <w:t>[Specifically. "The API" is not a dependency; "the v2 auth endpoint returning scopes" is]</w:t>
            </w:r>
          </w:p>
        </w:tc>
      </w:tr>
      <w:tr>
        <w:tc>
          <w:tcPr>
            <w:tcW w:type="dxa" w:w="4706"/>
          </w:tcPr>
          <w:p>
            <w:pPr>
              <w:spacing w:after="40"/>
            </w:pPr>
            <w:r>
              <w:rPr>
                <w:sz w:val="18"/>
              </w:rPr>
            </w:r>
            <w:r>
              <w:rPr>
                <w:sz w:val="18"/>
              </w:rPr>
              <w:t>Needed by</w:t>
            </w:r>
          </w:p>
        </w:tc>
        <w:tc>
          <w:tcPr>
            <w:tcW w:type="dxa" w:w="4706"/>
          </w:tcPr>
          <w:p>
            <w:pPr>
              <w:spacing w:after="40"/>
            </w:pPr>
            <w:r>
              <w:rPr>
                <w:sz w:val="18"/>
              </w:rPr>
            </w:r>
          </w:p>
        </w:tc>
      </w:tr>
      <w:tr>
        <w:tc>
          <w:tcPr>
            <w:tcW w:type="dxa" w:w="4706"/>
          </w:tcPr>
          <w:p>
            <w:pPr>
              <w:spacing w:after="40"/>
            </w:pPr>
            <w:r>
              <w:rPr>
                <w:sz w:val="18"/>
              </w:rPr>
            </w:r>
            <w:r>
              <w:rPr>
                <w:b/>
                <w:sz w:val="18"/>
              </w:rPr>
              <w:t>Acknowledged by</w:t>
            </w:r>
          </w:p>
        </w:tc>
        <w:tc>
          <w:tcPr>
            <w:tcW w:type="dxa" w:w="4706"/>
          </w:tcPr>
          <w:p>
            <w:pPr>
              <w:spacing w:after="40"/>
            </w:pPr>
            <w:r>
              <w:rPr>
                <w:sz w:val="18"/>
              </w:rPr>
            </w:r>
            <w:r>
              <w:rPr>
                <w:sz w:val="18"/>
              </w:rPr>
              <w:t>[A name from the other team. Unacknowledged means it does not exist]</w:t>
            </w:r>
          </w:p>
        </w:tc>
      </w:tr>
      <w:tr>
        <w:tc>
          <w:tcPr>
            <w:tcW w:type="dxa" w:w="4706"/>
          </w:tcPr>
          <w:p>
            <w:pPr>
              <w:spacing w:after="40"/>
            </w:pPr>
            <w:r>
              <w:rPr>
                <w:sz w:val="18"/>
              </w:rPr>
            </w:r>
            <w:r>
              <w:rPr>
                <w:sz w:val="18"/>
              </w:rPr>
              <w:t>Acknowledged on</w:t>
            </w:r>
          </w:p>
        </w:tc>
        <w:tc>
          <w:tcPr>
            <w:tcW w:type="dxa" w:w="4706"/>
          </w:tcPr>
          <w:p>
            <w:pPr>
              <w:spacing w:after="40"/>
            </w:pPr>
            <w:r>
              <w:rPr>
                <w:sz w:val="18"/>
              </w:rPr>
            </w:r>
          </w:p>
        </w:tc>
      </w:tr>
      <w:tr>
        <w:tc>
          <w:tcPr>
            <w:tcW w:type="dxa" w:w="4706"/>
          </w:tcPr>
          <w:p>
            <w:pPr>
              <w:spacing w:after="40"/>
            </w:pPr>
            <w:r>
              <w:rPr>
                <w:sz w:val="18"/>
              </w:rPr>
            </w:r>
            <w:r>
              <w:rPr>
                <w:sz w:val="18"/>
              </w:rPr>
              <w:t>Fallback if late</w:t>
            </w:r>
          </w:p>
        </w:tc>
        <w:tc>
          <w:tcPr>
            <w:tcW w:type="dxa" w:w="4706"/>
          </w:tcPr>
          <w:p>
            <w:pPr>
              <w:spacing w:after="40"/>
            </w:pPr>
            <w:r>
              <w:rPr>
                <w:sz w:val="18"/>
              </w:rPr>
            </w:r>
            <w:r>
              <w:rPr>
                <w:sz w:val="18"/>
              </w:rPr>
              <w:t>[What we do instead. Most dependencies have no answer here, which is itself the finding]</w:t>
            </w:r>
          </w:p>
        </w:tc>
      </w:tr>
    </w:tbl>
    <w:p>
      <w:pPr>
        <w:spacing w:after="40"/>
      </w:pPr>
    </w:p>
    <w:p>
      <w:pPr>
        <w:pStyle w:val="Heading1"/>
      </w:pPr>
      <w:r>
        <w:t>Using these together</w:t>
      </w:r>
    </w:p>
    <w:p>
      <w:r>
        <w:t xml:space="preserve">The </w:t>
      </w:r>
      <w:r>
        <w:rPr>
          <w:color w:val="7C3AED"/>
          <w:u w:val="single"/>
        </w:rPr>
        <w:t>charter</w:t>
      </w:r>
      <w:r>
        <w:rPr>
          <w:sz w:val="17"/>
        </w:rPr>
        <w:t xml:space="preserve"> (bvlogic.com/ai-company/pmo/)</w:t>
      </w:r>
      <w:r>
        <w:t xml:space="preserve"> sets out what the PMO owns, the </w:t>
      </w:r>
      <w:r>
        <w:rPr>
          <w:color w:val="7C3AED"/>
          <w:u w:val="single"/>
        </w:rPr>
        <w:t>SOPs</w:t>
      </w:r>
      <w:r>
        <w:rPr>
          <w:sz w:val="17"/>
        </w:rPr>
        <w:t xml:space="preserve"> (bvlogic.com/ai-company/pmo/sop/)</w:t>
      </w:r>
      <w:r>
        <w:t xml:space="preserve"> say when each is produced, the </w:t>
      </w:r>
      <w:r>
        <w:rPr>
          <w:color w:val="7C3AED"/>
          <w:u w:val="single"/>
        </w:rPr>
        <w:t>KPIs</w:t>
      </w:r>
      <w:r>
        <w:rPr>
          <w:sz w:val="17"/>
        </w:rPr>
        <w:t xml:space="preserve"> (bvlogic.com/ai-company/pmo/kpi/)</w:t>
      </w:r>
      <w:r>
        <w:t xml:space="preserve"> define what the intervention record feeds, and the </w:t>
      </w:r>
      <w:r>
        <w:rPr>
          <w:color w:val="7C3AED"/>
          <w:u w:val="single"/>
        </w:rPr>
        <w:t>workflows</w:t>
      </w:r>
      <w:r>
        <w:rPr>
          <w:sz w:val="17"/>
        </w:rPr>
        <w:t xml:space="preserve"> (bvlogic.com/ai-company/pmo/workflow/)</w:t>
      </w:r>
      <w:r>
        <w:t xml:space="preserve"> name who receives each output. A baseline filled in without the re-baselining discipline behind it is a document that quietly becomes fiction.</w:t>
      </w:r>
    </w:p>
    <w:p/>
    <w:p>
      <w:pPr>
        <w:pBdr>
          <w:bottom w:val="single" w:sz="4" w:space="4" w:color="7C3AED"/>
        </w:pBdr>
      </w:pPr>
    </w:p>
    <w:p>
      <w:r>
        <w:rPr>
          <w:b/>
          <w:color w:val="5B6471"/>
          <w:sz w:val="18"/>
        </w:rPr>
        <w:t>Notice</w:t>
      </w:r>
    </w:p>
    <w:p>
      <w:r>
        <w:rPr>
          <w:color w:val="5B6471"/>
          <w:sz w:val="17"/>
        </w:rPr>
        <w:t>This document is published by BvLogic as general reference material. It is provided for information only and is not professional, financial, legal or tax advice, and no liability is accepted for decisions taken on the basis of it. Figures in worked examples are illustrative unless a source is cited. Verify anything time-sensitive against the live version at bvlogic.com before relying on it.</w:t>
      </w:r>
    </w:p>
    <w:sectPr w:rsidR="00FC693F" w:rsidRPr="0006063C" w:rsidSect="00034616">
      <w:headerReference w:type="default" r:id="rId10"/>
      <w:footerReference w:type="default" r:id="rId11"/>
      <w:pgSz w:w="11906" w:h="16838"/>
      <w:pgMar w:top="1417" w:right="1247" w:bottom="1417" w:left="1247" w:header="680" w:footer="68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center"/>
    </w:pPr>
    <w:r/>
    <w:r>
      <w:rPr>
        <w:color w:val="5B6471"/>
        <w:sz w:val="16"/>
      </w:rPr>
      <w:t xml:space="preserve">Page </w:t>
    </w:r>
    <w:r>
      <w:fldChar w:fldCharType="begin"/>
    </w:r>
    <w:r>
      <w:instrText xml:space="preserve"> PAGE </w:instrText>
    </w:r>
    <w:r>
      <w:fldChar w:fldCharType="separate"/>
    </w:r>
    <w:r>
      <w:fldChar w:fldCharType="end"/>
    </w:r>
    <w:r>
      <w:rPr>
        <w:color w:val="5B6471"/>
        <w:sz w:val="16"/>
      </w:rPr>
      <w:t xml:space="preserve"> of </w:t>
    </w:r>
    <w:r>
      <w:fldChar w:fldCharType="begin"/>
    </w:r>
    <w:r>
      <w:instrText xml:space="preserve"> NUMPAGES </w:instrText>
    </w:r>
    <w:r>
      <w:fldChar w:fldCharType="separate"/>
    </w:r>
    <w:r>
      <w:fldChar w:fldCharType="end"/>
    </w:r>
    <w:r>
      <w:rPr>
        <w:color w:val="5B6471"/>
        <w:sz w:val="16"/>
      </w:rPr>
      <w:t xml:space="preserve">    |    bvlogic.com    |    (c) 2026 BvLogic</w:t>
    </w:r>
  </w:p>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pPr>
  </w:p>
  <w:p>
    <w:pPr>
      <w:spacing w:after="0"/>
    </w:pPr>
    <w:r>
      <w:pict>
        <v:shapetype id="_x0000_t136" coordsize="21600,21600" o:spt="136" adj="10800" path="m@7,0l@8,0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shapetype>
        <v:shape id="BvLogicWatermark" o:spid="_x0000_s2049" type="#_x0000_t136" style="position:absolute;margin-left:0;margin-top:0;width:440pt;height:150pt;             rotation:315;z-index:-251658752;mso-position-horizontal:center;             mso-position-horizontal-relative:margin;mso-position-vertical:center;             mso-position-vertical-relative:margin" o:allowincell="f" fillcolor="#D9D9D9" stroked="f">
          <v:fill opacity="0.55"/>
          <v:textpath style="font-family:&quot;Georgia&quot;;font-weight:bold;v-text-kern:t" trim="t" fitpath="t" string="BvLogic"/>
        </v:shape>
      </w:pict>
    </w:r>
  </w:p>
</w:hdr>
</file>

<file path=word/header2.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pBdr>
        <w:bottom w:val="single" w:sz="4" w:space="4" w:color="7C3AED"/>
      </w:pBdr>
    </w:pPr>
    <w:r/>
    <w:r>
      <w:rPr>
        <w:color w:val="5B6471"/>
        <w:sz w:val="16"/>
      </w:rPr>
      <w:t>BvLogic  |  PMO: the working templates</w:t>
    </w:r>
    <w:r>
      <w:tab/>
      <w:tab/>
    </w:r>
    <w:r>
      <w:rPr>
        <w:color w:val="5B6471"/>
        <w:sz w:val="16"/>
      </w:rPr>
      <w:t>Public</w:t>
    </w:r>
  </w:p>
  <w:p>
    <w:pPr>
      <w:spacing w:after="0"/>
    </w:pPr>
    <w:r>
      <w:pict>
        <v:shapetype id="_x0000_t136" coordsize="21600,21600" o:spt="136" adj="10800" path="m@7,0l@8,0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shapetype>
        <v:shape id="BvLogicWatermark" o:spid="_x0000_s2049" type="#_x0000_t136" style="position:absolute;margin-left:0;margin-top:0;width:440pt;height:150pt;             rotation:315;z-index:-251658752;mso-position-horizontal:center;             mso-position-horizontal-relative:margin;mso-position-vertical:center;             mso-position-vertical-relative:margin" o:allowincell="f" fillcolor="#D9D9D9" stroked="f">
          <v:fill opacity="0.55"/>
          <v:textpath style="font-family:&quot;Georgia&quot;;font-weight:bold;v-text-kern:t" trim="t" fitpath="t" string="BvLogic"/>
        </v:shape>
      </w:pict>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20" w:line="276" w:lineRule="auto"/>
    </w:pPr>
    <w:rPr>
      <w:rFonts w:ascii="Calibri" w:hAnsi="Calibri"/>
      <w:color w:val="0F141A"/>
      <w:sz w:val="21"/>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280" w:after="80"/>
      <w:outlineLvl w:val="0"/>
    </w:pPr>
    <w:rPr>
      <w:rFonts w:asciiTheme="majorHAnsi" w:eastAsiaTheme="majorEastAsia" w:hAnsiTheme="majorHAnsi" w:cstheme="majorBidi" w:ascii="Georgia" w:hAnsi="Georgia"/>
      <w:b/>
      <w:bCs/>
      <w:color w:val="7C3AED"/>
      <w:sz w:val="36"/>
      <w:szCs w:val="28"/>
    </w:rPr>
  </w:style>
  <w:style w:type="paragraph" w:styleId="Heading2">
    <w:name w:val="heading 2"/>
    <w:basedOn w:val="Normal"/>
    <w:next w:val="Normal"/>
    <w:link w:val="Heading2Char"/>
    <w:uiPriority w:val="9"/>
    <w:unhideWhenUsed/>
    <w:qFormat/>
    <w:rsid w:val="00FC693F"/>
    <w:pPr>
      <w:keepNext/>
      <w:keepLines/>
      <w:spacing w:before="280" w:after="80"/>
      <w:outlineLvl w:val="1"/>
    </w:pPr>
    <w:rPr>
      <w:rFonts w:asciiTheme="majorHAnsi" w:eastAsiaTheme="majorEastAsia" w:hAnsiTheme="majorHAnsi" w:cstheme="majorBidi" w:ascii="Georgia" w:hAnsi="Georgia"/>
      <w:b/>
      <w:bCs/>
      <w:color w:val="7C3AED"/>
      <w:sz w:val="28"/>
      <w:szCs w:val="26"/>
    </w:rPr>
  </w:style>
  <w:style w:type="paragraph" w:styleId="Heading3">
    <w:name w:val="heading 3"/>
    <w:basedOn w:val="Normal"/>
    <w:next w:val="Normal"/>
    <w:link w:val="Heading3Char"/>
    <w:uiPriority w:val="9"/>
    <w:unhideWhenUsed/>
    <w:qFormat/>
    <w:rsid w:val="00FC693F"/>
    <w:pPr>
      <w:keepNext/>
      <w:keepLines/>
      <w:spacing w:before="200" w:after="80"/>
      <w:outlineLvl w:val="2"/>
    </w:pPr>
    <w:rPr>
      <w:rFonts w:asciiTheme="majorHAnsi" w:eastAsiaTheme="majorEastAsia" w:hAnsiTheme="majorHAnsi" w:cstheme="majorBidi" w:ascii="Georgia" w:hAnsi="Georgia"/>
      <w:b/>
      <w:bCs/>
      <w:color w:val="0F141A"/>
      <w:sz w:val="23"/>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eader" Target="header1.xml"/><Relationship Id="rId10" Type="http://schemas.openxmlformats.org/officeDocument/2006/relationships/header" Target="header2.xml"/><Relationship Id="rId11"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PMO: the working templates</dc:title>
  <dc:subject/>
  <dc:creator>BvLogic</dc:creator>
  <cp:keywords>BvLogic, Template, enterprise AI, PMO: the working templates</cp:keywords>
  <dc:description/>
  <cp:lastModifiedBy/>
  <cp:revision>1</cp:revision>
  <dcterms:created xsi:type="dcterms:W3CDTF">2013-12-23T23:15:00Z</dcterms:created>
  <dcterms:modified xsi:type="dcterms:W3CDTF">2013-12-23T23:15:00Z</dcterms:modified>
  <cp:category>Template</cp:category>
  <dc:language>en-GB</dc:language>
</cp:coreProperties>
</file>