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KPI</w:t>
      </w:r>
    </w:p>
    <w:p>
      <w:pPr>
        <w:spacing w:after="160"/>
      </w:pPr>
      <w:r>
        <w:rPr>
          <w:rFonts w:ascii="Georgia" w:hAnsi="Georgia"/>
          <w:b/>
          <w:color w:val="0F141A"/>
          <w:sz w:val="56"/>
        </w:rPr>
        <w:t>PMO: the KPI set</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BVL-77117F</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10 August 2026</w:t>
            </w:r>
          </w:p>
        </w:tc>
      </w:tr>
      <w:tr>
        <w:tc>
          <w:tcPr>
            <w:tcW w:type="dxa" w:w="2551"/>
            <w:shd w:val="clear" w:color="auto" w:fill="F1EAFE"/>
          </w:tcPr>
          <w:p>
            <w:r/>
            <w:r>
              <w:rPr>
                <w:b/>
                <w:sz w:val="18"/>
              </w:rPr>
              <w:t>Next review</w:t>
            </w:r>
          </w:p>
        </w:tc>
        <w:tc>
          <w:tcPr>
            <w:tcW w:type="dxa" w:w="6520"/>
          </w:tcPr>
          <w:p>
            <w:r/>
            <w:r>
              <w:rPr>
                <w:sz w:val="18"/>
              </w:rPr>
              <w:t>10 August 2027</w:t>
            </w:r>
          </w:p>
        </w:tc>
      </w:tr>
      <w:tr>
        <w:tc>
          <w:tcPr>
            <w:tcW w:type="dxa" w:w="2551"/>
            <w:shd w:val="clear" w:color="auto" w:fill="F1EAFE"/>
          </w:tcPr>
          <w:p>
            <w:r/>
            <w:r>
              <w:rPr>
                <w:b/>
                <w:sz w:val="18"/>
              </w:rPr>
              <w:t>Document type</w:t>
            </w:r>
          </w:p>
        </w:tc>
        <w:tc>
          <w:tcPr>
            <w:tcW w:type="dxa" w:w="6520"/>
          </w:tcPr>
          <w:p>
            <w:r/>
            <w:r>
              <w:rPr>
                <w:sz w:val="18"/>
              </w:rPr>
              <w:t>Kpi</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r>
        <w:t>A reporting PMO is measured on whether the report went out. A predicting PMO is measured on whether anyone acted in time. These measure the second thing.</w:t>
      </w:r>
    </w:p>
    <w:p>
      <w:pPr>
        <w:pStyle w:val="Heading1"/>
      </w:pPr>
      <w:r>
        <w:t>The six that matter</w:t>
      </w:r>
    </w:p>
    <w:tbl>
      <w:tblPr>
        <w:tblStyle w:val="TableGrid"/>
        <w:tblW w:type="auto" w:w="0"/>
        <w:tblLook w:firstColumn="1" w:firstRow="1" w:lastColumn="0" w:lastRow="0" w:noHBand="0" w:noVBand="1" w:val="04A0"/>
      </w:tblPr>
      <w:tblGrid>
        <w:gridCol w:w="2353"/>
        <w:gridCol w:w="2353"/>
        <w:gridCol w:w="2353"/>
        <w:gridCol w:w="2353"/>
      </w:tblGrid>
      <w:tr>
        <w:trPr>
          <w:tblHeader w:val="true"/>
        </w:trPr>
        <w:tc>
          <w:tcPr>
            <w:tcW w:type="dxa" w:w="2353"/>
            <w:shd w:val="clear" w:color="auto" w:fill="F1EAFE"/>
          </w:tcPr>
          <w:p>
            <w:pPr>
              <w:spacing w:after="40"/>
            </w:pPr>
            <w:r>
              <w:rPr>
                <w:b/>
                <w:sz w:val="18"/>
              </w:rPr>
            </w:r>
            <w:r>
              <w:rPr>
                <w:b/>
                <w:sz w:val="18"/>
              </w:rPr>
              <w:t>Measure</w:t>
            </w:r>
          </w:p>
        </w:tc>
        <w:tc>
          <w:tcPr>
            <w:tcW w:type="dxa" w:w="2353"/>
            <w:shd w:val="clear" w:color="auto" w:fill="F1EAFE"/>
          </w:tcPr>
          <w:p>
            <w:pPr>
              <w:spacing w:after="40"/>
            </w:pPr>
            <w:r>
              <w:rPr>
                <w:b/>
                <w:sz w:val="18"/>
              </w:rPr>
            </w:r>
            <w:r>
              <w:rPr>
                <w:b/>
                <w:sz w:val="18"/>
              </w:rPr>
              <w:t>Definition</w:t>
            </w:r>
          </w:p>
        </w:tc>
        <w:tc>
          <w:tcPr>
            <w:tcW w:type="dxa" w:w="2353"/>
            <w:shd w:val="clear" w:color="auto" w:fill="F1EAFE"/>
          </w:tcPr>
          <w:p>
            <w:pPr>
              <w:spacing w:after="40"/>
            </w:pPr>
            <w:r>
              <w:rPr>
                <w:b/>
                <w:sz w:val="18"/>
              </w:rPr>
            </w:r>
            <w:r>
              <w:rPr>
                <w:b/>
                <w:sz w:val="18"/>
              </w:rPr>
              <w:t>Target</w:t>
            </w:r>
          </w:p>
        </w:tc>
        <w:tc>
          <w:tcPr>
            <w:tcW w:type="dxa" w:w="2353"/>
            <w:shd w:val="clear" w:color="auto" w:fill="F1EAFE"/>
          </w:tcPr>
          <w:p>
            <w:pPr>
              <w:spacing w:after="40"/>
            </w:pPr>
            <w:r>
              <w:rPr>
                <w:b/>
                <w:sz w:val="18"/>
              </w:rPr>
            </w:r>
            <w:r>
              <w:rPr>
                <w:b/>
                <w:sz w:val="18"/>
              </w:rPr>
              <w:t>How it gets gamed</w:t>
            </w:r>
          </w:p>
        </w:tc>
      </w:tr>
      <w:tr>
        <w:tc>
          <w:tcPr>
            <w:tcW w:type="dxa" w:w="2353"/>
          </w:tcPr>
          <w:p>
            <w:pPr>
              <w:spacing w:after="40"/>
            </w:pPr>
            <w:r>
              <w:rPr>
                <w:sz w:val="18"/>
              </w:rPr>
            </w:r>
            <w:r>
              <w:rPr>
                <w:sz w:val="18"/>
              </w:rPr>
              <w:t>Warning lead time</w:t>
            </w:r>
          </w:p>
        </w:tc>
        <w:tc>
          <w:tcPr>
            <w:tcW w:type="dxa" w:w="2353"/>
          </w:tcPr>
          <w:p>
            <w:pPr>
              <w:spacing w:after="40"/>
            </w:pPr>
            <w:r>
              <w:rPr>
                <w:sz w:val="18"/>
              </w:rPr>
            </w:r>
            <w:r>
              <w:rPr>
                <w:sz w:val="18"/>
              </w:rPr>
              <w:t>Days between a risk being flagged and it materialising</w:t>
            </w:r>
          </w:p>
        </w:tc>
        <w:tc>
          <w:tcPr>
            <w:tcW w:type="dxa" w:w="2353"/>
          </w:tcPr>
          <w:p>
            <w:pPr>
              <w:spacing w:after="40"/>
            </w:pPr>
            <w:r>
              <w:rPr>
                <w:sz w:val="18"/>
              </w:rPr>
            </w:r>
            <w:r>
              <w:rPr>
                <w:sz w:val="18"/>
              </w:rPr>
              <w:t>Above 10</w:t>
            </w:r>
          </w:p>
        </w:tc>
        <w:tc>
          <w:tcPr>
            <w:tcW w:type="dxa" w:w="2353"/>
          </w:tcPr>
          <w:p>
            <w:pPr>
              <w:spacing w:after="40"/>
            </w:pPr>
            <w:r>
              <w:rPr>
                <w:sz w:val="18"/>
              </w:rPr>
            </w:r>
            <w:r>
              <w:rPr>
                <w:sz w:val="18"/>
              </w:rPr>
              <w:t>Flagging everything, so the warning carries no information</w:t>
            </w:r>
          </w:p>
        </w:tc>
      </w:tr>
      <w:tr>
        <w:tc>
          <w:tcPr>
            <w:tcW w:type="dxa" w:w="2353"/>
          </w:tcPr>
          <w:p>
            <w:pPr>
              <w:spacing w:after="40"/>
            </w:pPr>
            <w:r>
              <w:rPr>
                <w:sz w:val="18"/>
              </w:rPr>
            </w:r>
            <w:r>
              <w:rPr>
                <w:sz w:val="18"/>
              </w:rPr>
              <w:t>Forecast accuracy</w:t>
            </w:r>
          </w:p>
        </w:tc>
        <w:tc>
          <w:tcPr>
            <w:tcW w:type="dxa" w:w="2353"/>
          </w:tcPr>
          <w:p>
            <w:pPr>
              <w:spacing w:after="40"/>
            </w:pPr>
            <w:r>
              <w:rPr>
                <w:sz w:val="18"/>
              </w:rPr>
            </w:r>
            <w:r>
              <w:rPr>
                <w:sz w:val="18"/>
              </w:rPr>
              <w:t>Predicted completion against actual</w:t>
            </w:r>
          </w:p>
        </w:tc>
        <w:tc>
          <w:tcPr>
            <w:tcW w:type="dxa" w:w="2353"/>
          </w:tcPr>
          <w:p>
            <w:pPr>
              <w:spacing w:after="40"/>
            </w:pPr>
            <w:r>
              <w:rPr>
                <w:sz w:val="18"/>
              </w:rPr>
            </w:r>
            <w:r>
              <w:rPr>
                <w:sz w:val="18"/>
              </w:rPr>
              <w:t>Within 10%</w:t>
            </w:r>
          </w:p>
        </w:tc>
        <w:tc>
          <w:tcPr>
            <w:tcW w:type="dxa" w:w="2353"/>
          </w:tcPr>
          <w:p>
            <w:pPr>
              <w:spacing w:after="40"/>
            </w:pPr>
            <w:r>
              <w:rPr>
                <w:sz w:val="18"/>
              </w:rPr>
            </w:r>
            <w:r>
              <w:rPr>
                <w:sz w:val="18"/>
              </w:rPr>
              <w:t>Forecasting late and calling every early finish a win</w:t>
            </w:r>
          </w:p>
        </w:tc>
      </w:tr>
      <w:tr>
        <w:tc>
          <w:tcPr>
            <w:tcW w:type="dxa" w:w="2353"/>
          </w:tcPr>
          <w:p>
            <w:pPr>
              <w:spacing w:after="40"/>
            </w:pPr>
            <w:r>
              <w:rPr>
                <w:sz w:val="18"/>
              </w:rPr>
            </w:r>
            <w:r>
              <w:rPr>
                <w:sz w:val="18"/>
              </w:rPr>
              <w:t>Intervention rate</w:t>
            </w:r>
          </w:p>
        </w:tc>
        <w:tc>
          <w:tcPr>
            <w:tcW w:type="dxa" w:w="2353"/>
          </w:tcPr>
          <w:p>
            <w:pPr>
              <w:spacing w:after="40"/>
            </w:pPr>
            <w:r>
              <w:rPr>
                <w:sz w:val="18"/>
              </w:rPr>
            </w:r>
            <w:r>
              <w:rPr>
                <w:sz w:val="18"/>
              </w:rPr>
              <w:t>Share of flagged risks that were acted on</w:t>
            </w:r>
          </w:p>
        </w:tc>
        <w:tc>
          <w:tcPr>
            <w:tcW w:type="dxa" w:w="2353"/>
          </w:tcPr>
          <w:p>
            <w:pPr>
              <w:spacing w:after="40"/>
            </w:pPr>
            <w:r>
              <w:rPr>
                <w:sz w:val="18"/>
              </w:rPr>
            </w:r>
            <w:r>
              <w:rPr>
                <w:sz w:val="18"/>
              </w:rPr>
              <w:t>Above 70%</w:t>
            </w:r>
          </w:p>
        </w:tc>
        <w:tc>
          <w:tcPr>
            <w:tcW w:type="dxa" w:w="2353"/>
          </w:tcPr>
          <w:p>
            <w:pPr>
              <w:spacing w:after="40"/>
            </w:pPr>
            <w:r>
              <w:rPr>
                <w:sz w:val="18"/>
              </w:rPr>
            </w:r>
            <w:r>
              <w:rPr>
                <w:sz w:val="18"/>
              </w:rPr>
              <w:t>Counting "noted in the meeting" as an action</w:t>
            </w:r>
          </w:p>
        </w:tc>
      </w:tr>
      <w:tr>
        <w:tc>
          <w:tcPr>
            <w:tcW w:type="dxa" w:w="2353"/>
          </w:tcPr>
          <w:p>
            <w:pPr>
              <w:spacing w:after="40"/>
            </w:pPr>
            <w:r>
              <w:rPr>
                <w:sz w:val="18"/>
              </w:rPr>
            </w:r>
            <w:r>
              <w:rPr>
                <w:sz w:val="18"/>
              </w:rPr>
              <w:t>On-time delivery</w:t>
            </w:r>
          </w:p>
        </w:tc>
        <w:tc>
          <w:tcPr>
            <w:tcW w:type="dxa" w:w="2353"/>
          </w:tcPr>
          <w:p>
            <w:pPr>
              <w:spacing w:after="40"/>
            </w:pPr>
            <w:r>
              <w:rPr>
                <w:sz w:val="18"/>
              </w:rPr>
            </w:r>
            <w:r>
              <w:rPr>
                <w:sz w:val="18"/>
              </w:rPr>
              <w:t xml:space="preserve">Against the </w:t>
            </w:r>
            <w:r>
              <w:rPr>
                <w:b/>
                <w:sz w:val="18"/>
              </w:rPr>
              <w:t>original</w:t>
            </w:r>
            <w:r>
              <w:rPr>
                <w:sz w:val="18"/>
              </w:rPr>
              <w:t xml:space="preserve"> baseline</w:t>
            </w:r>
          </w:p>
        </w:tc>
        <w:tc>
          <w:tcPr>
            <w:tcW w:type="dxa" w:w="2353"/>
          </w:tcPr>
          <w:p>
            <w:pPr>
              <w:spacing w:after="40"/>
            </w:pPr>
            <w:r>
              <w:rPr>
                <w:sz w:val="18"/>
              </w:rPr>
            </w:r>
            <w:r>
              <w:rPr>
                <w:sz w:val="18"/>
              </w:rPr>
              <w:t>Above 80%</w:t>
            </w:r>
          </w:p>
        </w:tc>
        <w:tc>
          <w:tcPr>
            <w:tcW w:type="dxa" w:w="2353"/>
          </w:tcPr>
          <w:p>
            <w:pPr>
              <w:spacing w:after="40"/>
            </w:pPr>
            <w:r>
              <w:rPr>
                <w:sz w:val="18"/>
              </w:rPr>
            </w:r>
            <w:r>
              <w:rPr>
                <w:sz w:val="18"/>
              </w:rPr>
              <w:t>Re-baselining, which makes every project on time forever</w:t>
            </w:r>
          </w:p>
        </w:tc>
      </w:tr>
      <w:tr>
        <w:tc>
          <w:tcPr>
            <w:tcW w:type="dxa" w:w="2353"/>
          </w:tcPr>
          <w:p>
            <w:pPr>
              <w:spacing w:after="40"/>
            </w:pPr>
            <w:r>
              <w:rPr>
                <w:sz w:val="18"/>
              </w:rPr>
            </w:r>
            <w:r>
              <w:rPr>
                <w:sz w:val="18"/>
              </w:rPr>
              <w:t>Budget variance</w:t>
            </w:r>
          </w:p>
        </w:tc>
        <w:tc>
          <w:tcPr>
            <w:tcW w:type="dxa" w:w="2353"/>
          </w:tcPr>
          <w:p>
            <w:pPr>
              <w:spacing w:after="40"/>
            </w:pPr>
            <w:r>
              <w:rPr>
                <w:sz w:val="18"/>
              </w:rPr>
            </w:r>
            <w:r>
              <w:rPr>
                <w:sz w:val="18"/>
              </w:rPr>
              <w:t>Actual against approved</w:t>
            </w:r>
          </w:p>
        </w:tc>
        <w:tc>
          <w:tcPr>
            <w:tcW w:type="dxa" w:w="2353"/>
          </w:tcPr>
          <w:p>
            <w:pPr>
              <w:spacing w:after="40"/>
            </w:pPr>
            <w:r>
              <w:rPr>
                <w:sz w:val="18"/>
              </w:rPr>
            </w:r>
            <w:r>
              <w:rPr>
                <w:sz w:val="18"/>
              </w:rPr>
              <w:t>Within 10%</w:t>
            </w:r>
          </w:p>
        </w:tc>
        <w:tc>
          <w:tcPr>
            <w:tcW w:type="dxa" w:w="2353"/>
          </w:tcPr>
          <w:p>
            <w:pPr>
              <w:spacing w:after="40"/>
            </w:pPr>
            <w:r>
              <w:rPr>
                <w:sz w:val="18"/>
              </w:rPr>
            </w:r>
            <w:r>
              <w:rPr>
                <w:sz w:val="18"/>
              </w:rPr>
              <w:t>Moving cost between projects at period end</w:t>
            </w:r>
          </w:p>
        </w:tc>
      </w:tr>
      <w:tr>
        <w:tc>
          <w:tcPr>
            <w:tcW w:type="dxa" w:w="2353"/>
          </w:tcPr>
          <w:p>
            <w:pPr>
              <w:spacing w:after="40"/>
            </w:pPr>
            <w:r>
              <w:rPr>
                <w:sz w:val="18"/>
              </w:rPr>
            </w:r>
            <w:r>
              <w:rPr>
                <w:sz w:val="18"/>
              </w:rPr>
              <w:t>Escaped commitments</w:t>
            </w:r>
          </w:p>
        </w:tc>
        <w:tc>
          <w:tcPr>
            <w:tcW w:type="dxa" w:w="2353"/>
          </w:tcPr>
          <w:p>
            <w:pPr>
              <w:spacing w:after="40"/>
            </w:pPr>
            <w:r>
              <w:rPr>
                <w:sz w:val="18"/>
              </w:rPr>
            </w:r>
            <w:r>
              <w:rPr>
                <w:sz w:val="18"/>
              </w:rPr>
              <w:t>Client promises missed without prior warning</w:t>
            </w:r>
          </w:p>
        </w:tc>
        <w:tc>
          <w:tcPr>
            <w:tcW w:type="dxa" w:w="2353"/>
          </w:tcPr>
          <w:p>
            <w:pPr>
              <w:spacing w:after="40"/>
            </w:pPr>
            <w:r>
              <w:rPr>
                <w:sz w:val="18"/>
              </w:rPr>
            </w:r>
            <w:r>
              <w:rPr>
                <w:sz w:val="18"/>
              </w:rPr>
              <w:t>Zero</w:t>
            </w:r>
          </w:p>
        </w:tc>
        <w:tc>
          <w:tcPr>
            <w:tcW w:type="dxa" w:w="2353"/>
          </w:tcPr>
          <w:p>
            <w:pPr>
              <w:spacing w:after="40"/>
            </w:pPr>
            <w:r>
              <w:rPr>
                <w:sz w:val="18"/>
              </w:rPr>
            </w:r>
            <w:r>
              <w:rPr>
                <w:sz w:val="18"/>
              </w:rPr>
              <w:t>Not recording commitments made verbally</w:t>
            </w:r>
          </w:p>
        </w:tc>
      </w:tr>
    </w:tbl>
    <w:p>
      <w:pPr>
        <w:spacing w:after="40"/>
      </w:pPr>
    </w:p>
    <w:p>
      <w:r>
        <w:rPr>
          <w:b/>
        </w:rPr>
        <w:t>On-time delivery must be measured against the original baseline.</w:t>
      </w:r>
      <w:r>
        <w:t xml:space="preserve"> Measured against the current plan it is meaningless: a project re-baselined four times is on time by construction. Track both if you like, but the original is the one that tells you whether the estimate was any good.</w:t>
      </w:r>
    </w:p>
    <w:p>
      <w:r>
        <w:rPr>
          <w:b/>
        </w:rPr>
        <w:t>Warning lead time is the number that defines this function.</w:t>
      </w:r>
      <w:r>
        <w:t xml:space="preserve"> A risk flagged the day it materialises is a report. The same risk flagged fifteen days out is a chance.</w:t>
      </w:r>
    </w:p>
    <w:p>
      <w:pPr>
        <w:pStyle w:val="Heading1"/>
      </w:pPr>
      <w:r>
        <w:t>Two counter-metrics</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Counter-metric</w:t>
            </w:r>
          </w:p>
        </w:tc>
        <w:tc>
          <w:tcPr>
            <w:tcW w:type="dxa" w:w="4706"/>
            <w:shd w:val="clear" w:color="auto" w:fill="F1EAFE"/>
          </w:tcPr>
          <w:p>
            <w:pPr>
              <w:spacing w:after="40"/>
            </w:pPr>
            <w:r>
              <w:rPr>
                <w:b/>
                <w:sz w:val="18"/>
              </w:rPr>
            </w:r>
            <w:r>
              <w:rPr>
                <w:b/>
                <w:sz w:val="18"/>
              </w:rPr>
              <w:t>Catches</w:t>
            </w:r>
          </w:p>
        </w:tc>
      </w:tr>
      <w:tr>
        <w:tc>
          <w:tcPr>
            <w:tcW w:type="dxa" w:w="4706"/>
          </w:tcPr>
          <w:p>
            <w:pPr>
              <w:spacing w:after="40"/>
            </w:pPr>
            <w:r>
              <w:rPr>
                <w:sz w:val="18"/>
              </w:rPr>
            </w:r>
            <w:r>
              <w:rPr>
                <w:sz w:val="18"/>
              </w:rPr>
              <w:t>False-alarm rate on HIGH risks</w:t>
            </w:r>
          </w:p>
        </w:tc>
        <w:tc>
          <w:tcPr>
            <w:tcW w:type="dxa" w:w="4706"/>
          </w:tcPr>
          <w:p>
            <w:pPr>
              <w:spacing w:after="40"/>
            </w:pPr>
            <w:r>
              <w:rPr>
                <w:sz w:val="18"/>
              </w:rPr>
            </w:r>
            <w:r>
              <w:rPr>
                <w:sz w:val="18"/>
              </w:rPr>
              <w:t>A prediction engine tuned to flag everything, which is indistinguishable from no engine once people stop reading it</w:t>
            </w:r>
          </w:p>
        </w:tc>
      </w:tr>
      <w:tr>
        <w:tc>
          <w:tcPr>
            <w:tcW w:type="dxa" w:w="4706"/>
          </w:tcPr>
          <w:p>
            <w:pPr>
              <w:spacing w:after="40"/>
            </w:pPr>
            <w:r>
              <w:rPr>
                <w:sz w:val="18"/>
              </w:rPr>
            </w:r>
            <w:r>
              <w:rPr>
                <w:sz w:val="18"/>
              </w:rPr>
              <w:t>Rework as a share of delivered work</w:t>
            </w:r>
          </w:p>
        </w:tc>
        <w:tc>
          <w:tcPr>
            <w:tcW w:type="dxa" w:w="4706"/>
          </w:tcPr>
          <w:p>
            <w:pPr>
              <w:spacing w:after="40"/>
            </w:pPr>
            <w:r>
              <w:rPr>
                <w:sz w:val="18"/>
              </w:rPr>
            </w:r>
            <w:r>
              <w:rPr>
                <w:sz w:val="18"/>
              </w:rPr>
              <w:t>Projects hitting dates by shipping problems into the next phase</w:t>
            </w:r>
          </w:p>
        </w:tc>
      </w:tr>
    </w:tbl>
    <w:p>
      <w:pPr>
        <w:spacing w:after="40"/>
      </w:pPr>
    </w:p>
    <w:p>
      <w:pPr>
        <w:pStyle w:val="Heading1"/>
      </w:pPr>
      <w:r>
        <w:t>Portfolio-level view</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Measure</w:t>
            </w:r>
          </w:p>
        </w:tc>
        <w:tc>
          <w:tcPr>
            <w:tcW w:type="dxa" w:w="4706"/>
            <w:shd w:val="clear" w:color="auto" w:fill="F1EAFE"/>
          </w:tcPr>
          <w:p>
            <w:pPr>
              <w:spacing w:after="40"/>
            </w:pPr>
            <w:r>
              <w:rPr>
                <w:b/>
                <w:sz w:val="18"/>
              </w:rPr>
            </w:r>
            <w:r>
              <w:rPr>
                <w:b/>
                <w:sz w:val="18"/>
              </w:rPr>
              <w:t>Why</w:t>
            </w:r>
          </w:p>
        </w:tc>
      </w:tr>
      <w:tr>
        <w:tc>
          <w:tcPr>
            <w:tcW w:type="dxa" w:w="4706"/>
          </w:tcPr>
          <w:p>
            <w:pPr>
              <w:spacing w:after="40"/>
            </w:pPr>
            <w:r>
              <w:rPr>
                <w:sz w:val="18"/>
              </w:rPr>
            </w:r>
            <w:r>
              <w:rPr>
                <w:sz w:val="18"/>
              </w:rPr>
              <w:t>Projects with a single-person critical path</w:t>
            </w:r>
          </w:p>
        </w:tc>
        <w:tc>
          <w:tcPr>
            <w:tcW w:type="dxa" w:w="4706"/>
          </w:tcPr>
          <w:p>
            <w:pPr>
              <w:spacing w:after="40"/>
            </w:pPr>
            <w:r>
              <w:rPr>
                <w:sz w:val="18"/>
              </w:rPr>
            </w:r>
            <w:r>
              <w:rPr>
                <w:sz w:val="18"/>
              </w:rPr>
              <w:t>The most common structural risk and the easiest to fix while it is early</w:t>
            </w:r>
          </w:p>
        </w:tc>
      </w:tr>
      <w:tr>
        <w:tc>
          <w:tcPr>
            <w:tcW w:type="dxa" w:w="4706"/>
          </w:tcPr>
          <w:p>
            <w:pPr>
              <w:spacing w:after="40"/>
            </w:pPr>
            <w:r>
              <w:rPr>
                <w:sz w:val="18"/>
              </w:rPr>
            </w:r>
            <w:r>
              <w:rPr>
                <w:sz w:val="18"/>
              </w:rPr>
              <w:t>Cross-project dependencies with no acknowledged owner</w:t>
            </w:r>
          </w:p>
        </w:tc>
        <w:tc>
          <w:tcPr>
            <w:tcW w:type="dxa" w:w="4706"/>
          </w:tcPr>
          <w:p>
            <w:pPr>
              <w:spacing w:after="40"/>
            </w:pPr>
            <w:r>
              <w:rPr>
                <w:sz w:val="18"/>
              </w:rPr>
            </w:r>
            <w:r>
              <w:rPr>
                <w:sz w:val="18"/>
              </w:rPr>
              <w:t>The dependency that fails is almost always the one the other team did not know about</w:t>
            </w:r>
          </w:p>
        </w:tc>
      </w:tr>
      <w:tr>
        <w:tc>
          <w:tcPr>
            <w:tcW w:type="dxa" w:w="4706"/>
          </w:tcPr>
          <w:p>
            <w:pPr>
              <w:spacing w:after="40"/>
            </w:pPr>
            <w:r>
              <w:rPr>
                <w:sz w:val="18"/>
              </w:rPr>
            </w:r>
            <w:r>
              <w:rPr>
                <w:sz w:val="18"/>
              </w:rPr>
              <w:t>Utilisation above 90%</w:t>
            </w:r>
          </w:p>
        </w:tc>
        <w:tc>
          <w:tcPr>
            <w:tcW w:type="dxa" w:w="4706"/>
          </w:tcPr>
          <w:p>
            <w:pPr>
              <w:spacing w:after="40"/>
            </w:pPr>
            <w:r>
              <w:rPr>
                <w:sz w:val="18"/>
              </w:rPr>
            </w:r>
            <w:r>
              <w:rPr>
                <w:sz w:val="18"/>
              </w:rPr>
              <w:t>Sustained, this is not efficiency; it is a system with no capacity to absorb anything</w:t>
            </w:r>
          </w:p>
        </w:tc>
      </w:tr>
    </w:tbl>
    <w:p>
      <w:pPr>
        <w:spacing w:after="40"/>
      </w:pPr>
    </w:p>
    <w:p>
      <w:pPr>
        <w:pStyle w:val="Heading1"/>
      </w:pPr>
      <w:r>
        <w:t>What is deliberately not measured</w:t>
      </w:r>
    </w:p>
    <w:p>
      <w:pPr>
        <w:pStyle w:val="ListBullet"/>
      </w:pPr>
      <w:r>
        <w:rPr>
          <w:b/>
        </w:rPr>
        <w:t>Reports produced.</w:t>
      </w:r>
      <w:r>
        <w:t xml:space="preserve"> The output of the old model.</w:t>
      </w:r>
    </w:p>
    <w:p>
      <w:pPr>
        <w:pStyle w:val="ListBullet"/>
      </w:pPr>
      <w:r>
        <w:rPr>
          <w:b/>
        </w:rPr>
        <w:t>Dashboard freshness.</w:t>
      </w:r>
      <w:r>
        <w:t xml:space="preserve"> Automatic now, and it was never the constraint.</w:t>
      </w:r>
    </w:p>
    <w:p>
      <w:pPr>
        <w:pStyle w:val="ListBullet"/>
      </w:pPr>
      <w:r>
        <w:rPr>
          <w:b/>
        </w:rPr>
        <w:t>Meetings held.</w:t>
      </w:r>
      <w:r>
        <w:t xml:space="preserve"> A cost, not a result.</w:t>
      </w:r>
    </w:p>
    <w:p>
      <w:pPr>
        <w:pStyle w:val="ListBullet"/>
      </w:pPr>
      <w:r>
        <w:rPr>
          <w:b/>
        </w:rPr>
        <w:t>Tasks closed.</w:t>
      </w:r>
      <w:r>
        <w:t xml:space="preserve"> Trivially inflated by splitting work into smaller tasks.</w:t>
      </w:r>
    </w:p>
    <w:p>
      <w:pPr>
        <w:pStyle w:val="Heading1"/>
      </w:pPr>
      <w:r>
        <w:t>Cadence</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Daily</w:t>
            </w:r>
          </w:p>
        </w:tc>
        <w:tc>
          <w:tcPr>
            <w:tcW w:type="dxa" w:w="4706"/>
            <w:shd w:val="clear" w:color="auto" w:fill="F1EAFE"/>
          </w:tcPr>
          <w:p>
            <w:pPr>
              <w:spacing w:after="40"/>
            </w:pPr>
            <w:r>
              <w:rPr>
                <w:b/>
                <w:sz w:val="18"/>
              </w:rPr>
            </w:r>
            <w:r>
              <w:rPr>
                <w:b/>
                <w:sz w:val="18"/>
              </w:rPr>
              <w:t>Prediction refresh; anything newly HIGH</w:t>
            </w:r>
          </w:p>
        </w:tc>
      </w:tr>
      <w:tr>
        <w:tc>
          <w:tcPr>
            <w:tcW w:type="dxa" w:w="4706"/>
          </w:tcPr>
          <w:p>
            <w:pPr>
              <w:spacing w:after="40"/>
            </w:pPr>
            <w:r>
              <w:rPr>
                <w:sz w:val="18"/>
              </w:rPr>
            </w:r>
            <w:r>
              <w:rPr>
                <w:sz w:val="18"/>
              </w:rPr>
              <w:t>Weekly</w:t>
            </w:r>
          </w:p>
        </w:tc>
        <w:tc>
          <w:tcPr>
            <w:tcW w:type="dxa" w:w="4706"/>
          </w:tcPr>
          <w:p>
            <w:pPr>
              <w:spacing w:after="40"/>
            </w:pPr>
            <w:r>
              <w:rPr>
                <w:sz w:val="18"/>
              </w:rPr>
            </w:r>
            <w:r>
              <w:rPr>
                <w:sz w:val="18"/>
              </w:rPr>
              <w:t>Interventions taken and their effect, commitments at risk</w:t>
            </w:r>
          </w:p>
        </w:tc>
      </w:tr>
      <w:tr>
        <w:tc>
          <w:tcPr>
            <w:tcW w:type="dxa" w:w="4706"/>
          </w:tcPr>
          <w:p>
            <w:pPr>
              <w:spacing w:after="40"/>
            </w:pPr>
            <w:r>
              <w:rPr>
                <w:sz w:val="18"/>
              </w:rPr>
            </w:r>
            <w:r>
              <w:rPr>
                <w:sz w:val="18"/>
              </w:rPr>
              <w:t>Monthly</w:t>
            </w:r>
          </w:p>
        </w:tc>
        <w:tc>
          <w:tcPr>
            <w:tcW w:type="dxa" w:w="4706"/>
          </w:tcPr>
          <w:p>
            <w:pPr>
              <w:spacing w:after="40"/>
            </w:pPr>
            <w:r>
              <w:rPr>
                <w:sz w:val="18"/>
              </w:rPr>
            </w:r>
            <w:r>
              <w:rPr>
                <w:sz w:val="18"/>
              </w:rPr>
              <w:t>Forecast accuracy against what actually happened, false-alarm rate</w:t>
            </w:r>
          </w:p>
        </w:tc>
      </w:tr>
      <w:tr>
        <w:tc>
          <w:tcPr>
            <w:tcW w:type="dxa" w:w="4706"/>
          </w:tcPr>
          <w:p>
            <w:pPr>
              <w:spacing w:after="40"/>
            </w:pPr>
            <w:r>
              <w:rPr>
                <w:sz w:val="18"/>
              </w:rPr>
            </w:r>
            <w:r>
              <w:rPr>
                <w:sz w:val="18"/>
              </w:rPr>
              <w:t>Quarterly</w:t>
            </w:r>
          </w:p>
        </w:tc>
        <w:tc>
          <w:tcPr>
            <w:tcW w:type="dxa" w:w="4706"/>
          </w:tcPr>
          <w:p>
            <w:pPr>
              <w:spacing w:after="40"/>
            </w:pPr>
            <w:r>
              <w:rPr>
                <w:sz w:val="18"/>
              </w:rPr>
            </w:r>
            <w:r>
              <w:rPr>
                <w:sz w:val="18"/>
              </w:rPr>
              <w:t>Whether the thresholds are still right</w:t>
            </w:r>
          </w:p>
        </w:tc>
      </w:tr>
    </w:tbl>
    <w:p>
      <w:pPr>
        <w:spacing w:after="40"/>
      </w:pPr>
    </w:p>
    <w:p>
      <w:r>
        <w:t>The monthly forecast-accuracy check is the one that keeps the rest honest. A prediction engine nobody scores becomes a confident engine, and a confident wrong engine is worse than a spreadsheet, because people stop bringing their own judgement to it.</w:t>
      </w: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PMO: the KPI set</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PMO: the KPI set</dc:title>
  <dc:subject/>
  <dc:creator>BvLogic</dc:creator>
  <cp:keywords>BvLogic, Kpi, enterprise AI, PMO: the KPI set</cp:keywords>
  <dc:description/>
  <cp:lastModifiedBy/>
  <cp:revision>1</cp:revision>
  <dcterms:created xsi:type="dcterms:W3CDTF">2013-12-23T23:15:00Z</dcterms:created>
  <dcterms:modified xsi:type="dcterms:W3CDTF">2013-12-23T23:15:00Z</dcterms:modified>
  <cp:category>Kpi</cp:category>
  <dc:language>en-GB</dc:language>
</cp:coreProperties>
</file>