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Pakistan AI Adoption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BVL-A04FE5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Pakistan's IT sector runs a $3.9 billion trade surplus, which is a structural fact rather than a good quarter.</w:t>
        <w:br/>
        <w:br/>
        <w:t>That is the finding from our Pakistan AI Adoption Report 2026 edition.</w:t>
        <w:br/>
        <w:br/>
        <w:t>Full report, with sources and the data as CSV: https://bvlogic.com/research/pakistan-ai-report/</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Pakistan's IT sector runs a $3.9 billion trade surplus, which is a structural fact rather than a good quarter.</w:t>
        <w:br/>
        <w:br/>
        <w:t>25% of Pakistan's IT exports now come from individual freelancers, not firms.</w:t>
        <w:br/>
        <w:br/>
        <w:t>Both of those are true of the same companies. That gap is the whole report.</w:t>
        <w:br/>
        <w:br/>
        <w:t>https://bvlogic.com/research/pakistan-ai-report/</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https://bvlogic.com/research/pakistan-ai-report/</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Pakistan AI Adoption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AI Adoption Report — LinkedIn drafts</dc:title>
  <dc:subject/>
  <dc:creator>BvLogic</dc:creator>
  <cp:keywords>BvLogic, Social, enterprise AI, Pakistan AI Adoption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