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Pakistan AI Adoption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BVL-31479F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Pakistan's IT sector runs a $3.9 billion trade surplus, which is a structural fact rather than a good quarter.</w:t>
      </w:r>
    </w:p>
    <w:p>
      <w:pPr>
        <w:pStyle w:val="ListBullet"/>
      </w:pPr>
      <w:r>
        <w:t>25% of Pakistan's IT exports now come from individual freelancers, not firms.</w:t>
      </w:r>
    </w:p>
    <w:p>
      <w:pPr>
        <w:pStyle w:val="ListBullet"/>
      </w:pPr>
      <w:r>
        <w:t>The shift underway is from an outsourcing-heavy model toward product development and AI-native startups.</w:t>
      </w:r>
    </w:p>
    <w:p>
      <w:pPr>
        <w:pStyle w:val="Heading1"/>
      </w:pPr>
      <w:r>
        <w:t>Who this lands with</w:t>
      </w:r>
    </w:p>
    <w:p>
      <w:r>
        <w:t>Investors, policymakers and firms weighing Pakistan as a delivery or hiring market</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https://bvlogic.com/research/pakistan-ai-report/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https://bvlogic.com/research/pakistan-ai-report/</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Pakistan AI Adoption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Pakistan AI Adoption Report — sales brief</dc:title>
  <dc:subject/>
  <dc:creator>BvLogic</dc:creator>
  <cp:keywords>BvLogic, Brief, enterprise AI, Pakistan AI Adoption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