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WEBINAR</w:t>
      </w:r>
    </w:p>
    <w:p>
      <w:pPr>
        <w:spacing w:after="160"/>
      </w:pPr>
      <w:r>
        <w:rPr>
          <w:rFonts w:ascii="Georgia" w:hAnsi="Georgia"/>
          <w:b/>
          <w:color w:val="0F141A"/>
          <w:sz w:val="56"/>
        </w:rPr>
        <w:t>Oracle Infrastructure Modernisation Report — session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BVL-E0D72A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Webinar</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 40-minute session with 20 minutes of questions, built from the report. Written for Infrastructure leaders and CFOs facing an Oracle renewal or audit._</w:t>
      </w:r>
    </w:p>
    <w:p>
      <w:pPr>
        <w:pStyle w:val="Heading1"/>
      </w:pPr>
      <w:r>
        <w:t>Why anyone would attend</w:t>
      </w:r>
    </w:p>
    <w:p>
      <w:r>
        <w:t>Oracle modernisation is discussed as a technology programme and decided as a contract negotiation. This report puts the commercial mechanics first, because they determine which technical options were ever available.</w:t>
      </w:r>
    </w:p>
    <w:p>
      <w:pPr>
        <w:pStyle w:val="Heading1"/>
      </w:pPr>
      <w:r>
        <w:t>Running order</w:t>
      </w:r>
    </w:p>
    <w:p>
      <w:r>
        <w:rPr>
          <w:b/>
        </w:rPr>
        <w:t>0-5 min. The finding.</w:t>
      </w:r>
      <w:r>
        <w:t xml:space="preserve"> Open on the number, not on introductions. Nobody joined to hear the company history.</w:t>
      </w:r>
    </w:p>
    <w:p>
      <w:pPr>
        <w:ind w:left="454"/>
        <w:shd w:val="clear" w:color="auto" w:fill="FAFAFB"/>
      </w:pPr>
      <w:r>
        <w:rPr>
          <w:i/>
        </w:rPr>
        <w:t>Oracle support runs at 22% of net licence fees and rises 8% annually by default, so a three-year-old obligation now costs about 26% more than the figure that was approved. The 24% widely quoted is 8% added three times; the clause compounds.</w:t>
      </w:r>
    </w:p>
    <w:p>
      <w:r>
        <w:rPr>
          <w:b/>
        </w:rPr>
        <w:t>5-15 min. The evidence.</w:t>
      </w:r>
      <w:r>
        <w:t xml:space="preserve"> Walk the charts. The strongest visual is "What an 8% annual uplift does to a support line".</w:t>
      </w:r>
    </w:p>
    <w:p>
      <w:r>
        <w:rPr>
          <w:b/>
        </w:rPr>
        <w:t>15-21 min. What the numbers look like.</w:t>
      </w:r>
      <w:r>
        <w:t xml:space="preserve"> From the report section of the same name.</w:t>
      </w:r>
    </w:p>
    <w:p>
      <w:r>
        <w:rPr>
          <w:b/>
        </w:rPr>
        <w:t>21-27 min. The per-employee metric is the structural change.</w:t>
      </w:r>
      <w:r>
        <w:t xml:space="preserve"> From the report section of the same name.</w:t>
      </w:r>
    </w:p>
    <w:p>
      <w:r>
        <w:rPr>
          <w:b/>
        </w:rPr>
        <w:t>27-33 min. Audit is a licensing event, not a security event.</w:t>
      </w:r>
      <w:r>
        <w:t xml:space="preserve"> From the report section of the same name.</w:t>
      </w:r>
    </w:p>
    <w:p>
      <w:r>
        <w:rPr>
          <w:b/>
        </w:rPr>
        <w:t>33-39 min. Migration off is a rewrite in disguise more often than it looks.</w:t>
      </w:r>
      <w:r>
        <w:t xml:space="preserve"> From the report section of the same name.</w:t>
      </w:r>
    </w:p>
    <w:p>
      <w:r>
        <w:rPr>
          <w:b/>
        </w:rPr>
        <w:t>Last 5 min. What we would do.</w:t>
      </w:r>
      <w:r>
        <w:t xml:space="preserve"> The recommendation, stated as a decision the audience can take on Monday, not as a service pitch.</w:t>
      </w:r>
    </w:p>
    <w:p>
      <w:pPr>
        <w:pStyle w:val="Heading1"/>
      </w:pPr>
      <w:r>
        <w:t>Questions to plant if the room is quiet</w:t>
      </w:r>
    </w:p>
    <w:p>
      <w:pPr>
        <w:pStyle w:val="ListBullet"/>
      </w:pPr>
      <w:r>
        <w:t>"Java SE is priced per EMPLOYEE, not per user, at $5.25 to $15.00 per employee per month. Reported effective increases against processor licensing run 300% to 500%." — how would we even know if that were true of us?</w:t>
      </w:r>
    </w:p>
    <w:p>
      <w:pPr>
        <w:pStyle w:val="ListBullet"/>
      </w:pPr>
      <w:r>
        <w:t>What would you need to measure before believing this applies to you?</w:t>
      </w:r>
    </w:p>
    <w:p>
      <w:pPr>
        <w:pStyle w:val="ListBullet"/>
      </w:pPr>
      <w:r>
        <w:t>Where does this break down in a regulated environment?</w:t>
      </w:r>
    </w:p>
    <w:p>
      <w:pPr>
        <w:pStyle w:val="Heading1"/>
      </w:pPr>
      <w:r>
        <w:t>The one rule</w:t>
      </w:r>
    </w:p>
    <w:p>
      <w:r>
        <w:t>No slide contains a number that is not in the published report at https://bvlogic.com/research/oracle-modernization/. If it is worth saying on a webinar it is worth publishing where it can be checked.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Oracle Infrastructure Modernisation Report — session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Oracle Infrastructure Modernisation Report — session outline</dc:title>
  <dc:subject/>
  <dc:creator>BvLogic</dc:creator>
  <cp:keywords>BvLogic, Webinar, enterprise AI, Oracle Infrastructure Modernisation Report — session outline</cp:keywords>
  <dc:description/>
  <cp:lastModifiedBy/>
  <cp:revision>1</cp:revision>
  <dcterms:created xsi:type="dcterms:W3CDTF">2013-12-23T23:15:00Z</dcterms:created>
  <dcterms:modified xsi:type="dcterms:W3CDTF">2013-12-23T23:15:00Z</dcterms:modified>
  <cp:category>Webinar</cp:category>
  <dc:language>en-GB</dc:language>
</cp:coreProperties>
</file>