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Oracle Infrastructure Modernisation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BVL-DFC21A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Oracle support runs at 22% of net licence fees and rises 8% annually by default, so a three-year-old obligation now costs about 26% more than the figure that was approved. The 24% widely quoted is 8% added three times; the clause compounds.</w:t>
        <w:br/>
        <w:br/>
        <w:t>That is the finding from our Oracle Infrastructure Modernisation Report 2026 edition.</w:t>
        <w:br/>
        <w:br/>
        <w:t>Full report, with sources and the data as CSV: https://bvlogic.com/research/oracle-modernization/</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Oracle support runs at 22% of net licence fees and rises 8% annually by default, so a three-year-old obligation now costs about 26% more than the figure that was approved. The 24% widely quoted is 8% added three times; the clause compounds.</w:t>
        <w:br/>
        <w:br/>
        <w:t>Java SE is priced per EMPLOYEE, not per user, at $5.25 to $15.00 per employee per month. Reported effective increases against processor licensing run 300% to 500%.</w:t>
        <w:br/>
        <w:br/>
        <w:t>Both of those are true of the same companies. That gap is the whole report.</w:t>
        <w:br/>
        <w:br/>
        <w:t>https://bvlogic.com/research/oracle-modernization/</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https://bvlogic.com/research/oracle-modernization/</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Infrastructure Modernisation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Infrastructure Modernisation Report — LinkedIn drafts</dc:title>
  <dc:subject/>
  <dc:creator>BvLogic</dc:creator>
  <cp:keywords>BvLogic, Social, enterprise AI, Oracle Infrastructure Modernisation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