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KIT</w:t>
      </w:r>
    </w:p>
    <w:p>
      <w:pPr>
        <w:spacing w:after="160"/>
      </w:pPr>
      <w:r>
        <w:rPr>
          <w:rFonts w:ascii="Georgia" w:hAnsi="Georgia"/>
          <w:b/>
          <w:color w:val="0F141A"/>
          <w:sz w:val="56"/>
        </w:rPr>
        <w:t>Oracle Infrastructure Modernisation Report, 2026 edition — press kit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BVL-B7983F</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Kit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For journalists, analysts and anyone writing about this.</w:t>
      </w:r>
      <w:r>
        <w:t xml:space="preserve"> Everything here may be quoted and reproduced with attribution to BvLogic and a link to the report. No permission is needed and there is no form.</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Report</w:t>
            </w:r>
          </w:p>
        </w:tc>
        <w:tc>
          <w:tcPr>
            <w:tcW w:type="dxa" w:w="4706"/>
            <w:shd w:val="clear" w:color="auto" w:fill="F1EAFE"/>
          </w:tcPr>
          <w:p>
            <w:pPr>
              <w:spacing w:after="40"/>
            </w:pPr>
            <w:r>
              <w:rPr>
                <w:b/>
                <w:sz w:val="18"/>
              </w:rPr>
            </w:r>
            <w:r>
              <w:rPr>
                <w:b/>
                <w:color w:val="7C3AED"/>
                <w:sz w:val="18"/>
                <w:u w:val="single"/>
              </w:rPr>
              <w:t>Oracle Infrastructure Modernisation Report 2026: The Bill Is the Architecture Decision</w:t>
            </w:r>
          </w:p>
        </w:tc>
      </w:tr>
      <w:tr>
        <w:tc>
          <w:tcPr>
            <w:tcW w:type="dxa" w:w="4706"/>
          </w:tcPr>
          <w:p>
            <w:pPr>
              <w:spacing w:after="40"/>
            </w:pPr>
            <w:r>
              <w:rPr>
                <w:sz w:val="18"/>
              </w:rPr>
            </w:r>
            <w:r>
              <w:rPr>
                <w:sz w:val="18"/>
              </w:rPr>
              <w:t>Published</w:t>
            </w:r>
          </w:p>
        </w:tc>
        <w:tc>
          <w:tcPr>
            <w:tcW w:type="dxa" w:w="4706"/>
          </w:tcPr>
          <w:p>
            <w:pPr>
              <w:spacing w:after="40"/>
            </w:pPr>
            <w:r>
              <w:rPr>
                <w:sz w:val="18"/>
              </w:rPr>
            </w:r>
            <w:r>
              <w:rPr>
                <w:sz w:val="18"/>
              </w:rPr>
              <w:t>2026-08-10</w:t>
            </w:r>
          </w:p>
        </w:tc>
      </w:tr>
      <w:tr>
        <w:tc>
          <w:tcPr>
            <w:tcW w:type="dxa" w:w="4706"/>
          </w:tcPr>
          <w:p>
            <w:pPr>
              <w:spacing w:after="40"/>
            </w:pPr>
            <w:r>
              <w:rPr>
                <w:sz w:val="18"/>
              </w:rPr>
            </w:r>
            <w:r>
              <w:rPr>
                <w:sz w:val="18"/>
              </w:rPr>
              <w:t>Series</w:t>
            </w:r>
          </w:p>
        </w:tc>
        <w:tc>
          <w:tcPr>
            <w:tcW w:type="dxa" w:w="4706"/>
          </w:tcPr>
          <w:p>
            <w:pPr>
              <w:spacing w:after="40"/>
            </w:pPr>
            <w:r>
              <w:rPr>
                <w:sz w:val="18"/>
              </w:rPr>
            </w:r>
            <w:r>
              <w:rPr>
                <w:sz w:val="18"/>
              </w:rPr>
              <w:t>Oracle Infrastructure Modernisation Report, Annual</w:t>
            </w:r>
          </w:p>
        </w:tc>
      </w:tr>
      <w:tr>
        <w:tc>
          <w:tcPr>
            <w:tcW w:type="dxa" w:w="4706"/>
          </w:tcPr>
          <w:p>
            <w:pPr>
              <w:spacing w:after="40"/>
            </w:pPr>
            <w:r>
              <w:rPr>
                <w:sz w:val="18"/>
              </w:rPr>
            </w:r>
            <w:r>
              <w:rPr>
                <w:sz w:val="18"/>
              </w:rPr>
              <w:t>Next edition</w:t>
            </w:r>
          </w:p>
        </w:tc>
        <w:tc>
          <w:tcPr>
            <w:tcW w:type="dxa" w:w="4706"/>
          </w:tcPr>
          <w:p>
            <w:pPr>
              <w:spacing w:after="40"/>
            </w:pPr>
            <w:r>
              <w:rPr>
                <w:sz w:val="18"/>
              </w:rPr>
            </w:r>
            <w:r>
              <w:rPr>
                <w:sz w:val="18"/>
              </w:rPr>
              <w:t>August 2027</w:t>
            </w:r>
          </w:p>
        </w:tc>
      </w:tr>
      <w:tr>
        <w:tc>
          <w:tcPr>
            <w:tcW w:type="dxa" w:w="4706"/>
          </w:tcPr>
          <w:p>
            <w:pPr>
              <w:spacing w:after="40"/>
            </w:pPr>
            <w:r>
              <w:rPr>
                <w:sz w:val="18"/>
              </w:rPr>
            </w:r>
            <w:r>
              <w:rPr>
                <w:sz w:val="18"/>
              </w:rPr>
              <w:t>Contact</w:t>
            </w:r>
          </w:p>
        </w:tc>
        <w:tc>
          <w:tcPr>
            <w:tcW w:type="dxa" w:w="4706"/>
          </w:tcPr>
          <w:p>
            <w:pPr>
              <w:spacing w:after="40"/>
            </w:pPr>
            <w:r>
              <w:rPr>
                <w:sz w:val="18"/>
              </w:rPr>
            </w:r>
            <w:r>
              <w:rPr>
                <w:sz w:val="18"/>
              </w:rPr>
              <w:t>hello@bvlogic.com</w:t>
            </w:r>
          </w:p>
        </w:tc>
      </w:tr>
    </w:tbl>
    <w:p>
      <w:pPr>
        <w:spacing w:after="40"/>
      </w:pPr>
    </w:p>
    <w:p>
      <w:pPr>
        <w:pStyle w:val="Heading1"/>
      </w:pPr>
      <w:r>
        <w:t>The findings, verbatim</w:t>
      </w:r>
    </w:p>
    <w:p>
      <w:pPr>
        <w:ind w:left="454"/>
        <w:shd w:val="clear" w:color="auto" w:fill="FAFAFB"/>
      </w:pPr>
      <w:r>
        <w:rPr>
          <w:i/>
        </w:rPr>
        <w:t>Oracle support runs at 22% of net licence fees and rises 8% annually by default, so a three-year-old obligation now costs about 26% more than the figure that was approved. The 24% widely quoted is 8% added three times; the clause compounds.</w:t>
      </w:r>
    </w:p>
    <w:p>
      <w:pPr>
        <w:ind w:left="454"/>
        <w:shd w:val="clear" w:color="auto" w:fill="FAFAFB"/>
      </w:pPr>
      <w:r>
        <w:rPr>
          <w:i/>
        </w:rPr>
        <w:t>Java SE is priced per EMPLOYEE, not per user, at $5.25 to $15.00 per employee per month. Reported effective increases against processor licensing run 300% to 500%.</w:t>
      </w:r>
    </w:p>
    <w:p>
      <w:pPr>
        <w:ind w:left="454"/>
        <w:shd w:val="clear" w:color="auto" w:fill="FAFAFB"/>
      </w:pPr>
      <w:r>
        <w:rPr>
          <w:i/>
        </w:rPr>
        <w:t>Under a per-employee metric a partial migration saves nothing, which turns modernisation from an incremental programme into a binary one.</w:t>
      </w:r>
    </w:p>
    <w:p>
      <w:pPr>
        <w:ind w:left="454"/>
        <w:shd w:val="clear" w:color="auto" w:fill="FAFAFB"/>
      </w:pPr>
      <w:r>
        <w:rPr>
          <w:i/>
        </w:rPr>
        <w:t>About one in five Java users is estimated to face an audit within three years, and 79% have migrated, are migrating or plan to migrate to open-source Java.</w:t>
      </w:r>
    </w:p>
    <w:p>
      <w:r>
        <w:t>Each of these is stated in the report with its source. If you want the working behind any of them, ask and we will send it.</w:t>
      </w:r>
    </w:p>
    <w:p>
      <w:pPr>
        <w:pStyle w:val="Heading1"/>
      </w:pPr>
      <w:r>
        <w:t>How to cite</w:t>
      </w:r>
    </w:p>
    <w:p>
      <w:pPr>
        <w:shd w:val="clear" w:color="auto" w:fill="F4F5F7"/>
      </w:pPr>
      <w:r>
        <w:rPr>
          <w:rFonts w:ascii="Consolas" w:hAnsi="Consolas"/>
          <w:sz w:val="18"/>
        </w:rPr>
        <w:t>Oracle Infrastructure Modernisation Report, 2026 edition. BvLogic Research, 2026-08-10. https://bvlogic.com/research/oracle-modernization/</w:t>
      </w:r>
    </w:p>
    <w:p>
      <w:r>
        <w:t>Every report here may be quoted, charted and reproduced, including commercially, with attribution to BvLogic and a link to the report page. No permission needed and no form to fill in. We would rather be cited widely than control the copy, and a citation policy that requires an email is a citation policy designed to fail.</w:t>
      </w:r>
    </w:p>
    <w:p>
      <w:pPr>
        <w:pStyle w:val="Heading1"/>
      </w:pPr>
      <w:r>
        <w:t>Charts you may reproduce</w:t>
      </w:r>
    </w:p>
    <w:p>
      <w:pPr>
        <w:pStyle w:val="ListBullet"/>
      </w:pPr>
      <w:r>
        <w:rPr>
          <w:b/>
        </w:rPr>
        <w:t>What an 8% annual uplift does to a support line</w:t>
      </w:r>
      <w:r>
        <w:t xml:space="preserve"> — Nothing was renegotiated and no new licences were bought. This is the default clause running unattended. Source line to carry: _Oracle standard support terms as reported by licensing advisories, 2026; chart: BvLogic_.</w:t>
      </w:r>
    </w:p>
    <w:p>
      <w:r>
        <w:t>The underlying figures are downloadable as CSV from the report page, so you can rebuild any chart in your own house style rather than screenshotting ours.</w:t>
      </w:r>
    </w:p>
    <w:p>
      <w:pPr>
        <w:pStyle w:val="Heading1"/>
      </w:pPr>
      <w:r>
        <w:t>Method, stated plainly</w:t>
      </w:r>
    </w:p>
    <w:p>
      <w:r>
        <w:t>These are syntheses of published data, not primary survey research, and every report says so in its own words. Each figure carries its source and the date that source published it. Where sources disagree we show both rather than choosing the flattering one. Nothing here is modelled, extrapolated or estimated unless the report says it is and shows the working.</w:t>
      </w:r>
    </w:p>
    <w:p>
      <w:r>
        <w:t>If you are writing about this and a number looks weaker than we have presented it, tell us. We would rather correct a report than defend one.</w:t>
      </w:r>
    </w:p>
    <w:p>
      <w:pPr>
        <w:pStyle w:val="Heading1"/>
      </w:pPr>
      <w:r>
        <w:t>Underlying sources</w:t>
      </w:r>
    </w:p>
    <w:p>
      <w:pPr>
        <w:pStyle w:val="ListBullet"/>
      </w:pPr>
      <w:r>
        <w:rPr>
          <w:color w:val="7C3AED"/>
          <w:u w:val="single"/>
        </w:rPr>
        <w:t>Oracle Java Licensing Cost 2026, Redress Compliance</w:t>
      </w:r>
    </w:p>
    <w:p>
      <w:pPr>
        <w:pStyle w:val="ListBullet"/>
      </w:pPr>
      <w:r>
        <w:rPr>
          <w:color w:val="7C3AED"/>
          <w:u w:val="single"/>
        </w:rPr>
        <w:t>Oracle Price List 2026: Key Changes and Analysis, Redress Compliance</w:t>
      </w:r>
    </w:p>
    <w:p>
      <w:pPr>
        <w:pStyle w:val="ListBullet"/>
      </w:pPr>
      <w:r>
        <w:rPr>
          <w:color w:val="7C3AED"/>
          <w:u w:val="single"/>
        </w:rPr>
        <w:t>Licensing Oracle Java: The Complete 2026 Guide, LicenseQ</w:t>
      </w:r>
    </w:p>
    <w:p>
      <w:pPr>
        <w:pStyle w:val="ListBullet"/>
      </w:pPr>
      <w:r>
        <w:rPr>
          <w:color w:val="7C3AED"/>
          <w:u w:val="single"/>
        </w:rPr>
        <w:t>Oracle Database and Java Licensing Cost 2026, Software Pricing Guide</w:t>
      </w:r>
    </w:p>
    <w:p>
      <w:pPr>
        <w:pStyle w:val="ListBullet"/>
      </w:pPr>
      <w:r>
        <w:rPr>
          <w:color w:val="7C3AED"/>
          <w:u w:val="single"/>
        </w:rPr>
        <w:t>Migrate from Oracle Java to OpenJDK, LegacyLeap</w:t>
      </w:r>
    </w:p>
    <w:p>
      <w:pPr>
        <w:pStyle w:val="Heading1"/>
      </w:pPr>
      <w:r>
        <w:t>About BvLogic</w:t>
      </w:r>
    </w:p>
    <w:p>
      <w:r>
        <w:t>BvLogic Solutions LLC builds AI, cloud, data and security systems for enterprises, and publishes the architecture, testing and governance material behind them. Headquartered in Dubai, working across the Gulf, Europe and North America. https://bvlogic.com</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Oracle Infrastructure Modernisation Report, 2026 edition — press kit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Oracle Infrastructure Modernisation Report, 2026 edition — press kit</dc:title>
  <dc:subject/>
  <dc:creator>BvLogic</dc:creator>
  <cp:keywords>BvLogic, Kit, enterprise AI, Oracle Infrastructure Modernisation Report, 2026 edition — press kit</cp:keywords>
  <dc:description/>
  <cp:lastModifiedBy/>
  <cp:revision>1</cp:revision>
  <dcterms:created xsi:type="dcterms:W3CDTF">2013-12-23T23:15:00Z</dcterms:created>
  <dcterms:modified xsi:type="dcterms:W3CDTF">2013-12-23T23:15:00Z</dcterms:modified>
  <cp:category>Kit</cp:category>
  <dc:language>en-GB</dc:language>
</cp:coreProperties>
</file>