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REPORT</w:t>
      </w:r>
    </w:p>
    <w:p>
      <w:pPr>
        <w:spacing w:after="160"/>
      </w:pPr>
      <w:r>
        <w:rPr>
          <w:rFonts w:ascii="Georgia" w:hAnsi="Georgia"/>
          <w:b/>
          <w:color w:val="0F141A"/>
          <w:sz w:val="56"/>
        </w:rPr>
        <w:t>Model Selection Report: Sample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BVL-336F01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Report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models are anonymised as A, B and C and every figure is invented, deliberately: a real comparison goes stale within weeks, and copying someone else's numbers is exactly the mistake this format exists to prevent. Copy the method.</w:t>
      </w:r>
    </w:p>
    <w:p>
      <w:r>
        <w:t xml:space="preserve">The report answers one question: </w:t>
      </w:r>
      <w:r>
        <w:rPr>
          <w:b/>
        </w:rPr>
        <w:t>which model should run this specific task.</w:t>
      </w:r>
      <w:r>
        <w:t xml:space="preserve"> And it refuses to answer any broader one. There is no such thing as the best model; there is a best model for a task, at a volume, under a latency budget.</w:t>
      </w:r>
    </w:p>
    <w:p>
      <w:r>
        <w:t>---</w:t>
      </w:r>
    </w:p>
    <w:p>
      <w:pPr>
        <w:pStyle w:val="Heading1"/>
      </w:pPr>
      <w:r>
        <w:t>Model selection: document classification and extraction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Task</w:t>
            </w:r>
          </w:p>
        </w:tc>
        <w:tc>
          <w:tcPr>
            <w:tcW w:type="dxa" w:w="4706"/>
            <w:shd w:val="clear" w:color="auto" w:fill="F1EAFE"/>
          </w:tcPr>
          <w:p>
            <w:pPr>
              <w:spacing w:after="40"/>
            </w:pPr>
            <w:r>
              <w:rPr>
                <w:b/>
                <w:sz w:val="18"/>
              </w:rPr>
            </w:r>
            <w:r>
              <w:rPr>
                <w:b/>
                <w:sz w:val="18"/>
              </w:rPr>
              <w:t>Classify inbound documents into 14 types and extract 6 fields</w:t>
            </w:r>
          </w:p>
        </w:tc>
      </w:tr>
      <w:tr>
        <w:tc>
          <w:tcPr>
            <w:tcW w:type="dxa" w:w="4706"/>
          </w:tcPr>
          <w:p>
            <w:pPr>
              <w:spacing w:after="40"/>
            </w:pPr>
            <w:r>
              <w:rPr>
                <w:sz w:val="18"/>
              </w:rPr>
            </w:r>
            <w:r>
              <w:rPr>
                <w:sz w:val="18"/>
              </w:rPr>
              <w:t>Volume</w:t>
            </w:r>
          </w:p>
        </w:tc>
        <w:tc>
          <w:tcPr>
            <w:tcW w:type="dxa" w:w="4706"/>
          </w:tcPr>
          <w:p>
            <w:pPr>
              <w:spacing w:after="40"/>
            </w:pPr>
            <w:r>
              <w:rPr>
                <w:sz w:val="18"/>
              </w:rPr>
            </w:r>
            <w:r>
              <w:rPr>
                <w:sz w:val="18"/>
              </w:rPr>
              <w:t>~40,000 documents a month</w:t>
            </w:r>
          </w:p>
        </w:tc>
      </w:tr>
      <w:tr>
        <w:tc>
          <w:tcPr>
            <w:tcW w:type="dxa" w:w="4706"/>
          </w:tcPr>
          <w:p>
            <w:pPr>
              <w:spacing w:after="40"/>
            </w:pPr>
            <w:r>
              <w:rPr>
                <w:sz w:val="18"/>
              </w:rPr>
            </w:r>
            <w:r>
              <w:rPr>
                <w:sz w:val="18"/>
              </w:rPr>
              <w:t>Latency budget</w:t>
            </w:r>
          </w:p>
        </w:tc>
        <w:tc>
          <w:tcPr>
            <w:tcW w:type="dxa" w:w="4706"/>
          </w:tcPr>
          <w:p>
            <w:pPr>
              <w:spacing w:after="40"/>
            </w:pPr>
            <w:r>
              <w:rPr>
                <w:sz w:val="18"/>
              </w:rPr>
            </w:r>
            <w:r>
              <w:rPr>
                <w:sz w:val="18"/>
              </w:rPr>
              <w:t>4 seconds at the 95th percentile</w:t>
            </w:r>
          </w:p>
        </w:tc>
      </w:tr>
      <w:tr>
        <w:tc>
          <w:tcPr>
            <w:tcW w:type="dxa" w:w="4706"/>
          </w:tcPr>
          <w:p>
            <w:pPr>
              <w:spacing w:after="40"/>
            </w:pPr>
            <w:r>
              <w:rPr>
                <w:sz w:val="18"/>
              </w:rPr>
            </w:r>
            <w:r>
              <w:rPr>
                <w:sz w:val="18"/>
              </w:rPr>
              <w:t>Evaluated</w:t>
            </w:r>
          </w:p>
        </w:tc>
        <w:tc>
          <w:tcPr>
            <w:tcW w:type="dxa" w:w="4706"/>
          </w:tcPr>
          <w:p>
            <w:pPr>
              <w:spacing w:after="40"/>
            </w:pPr>
            <w:r>
              <w:rPr>
                <w:sz w:val="18"/>
              </w:rPr>
            </w:r>
            <w:r>
              <w:rPr>
                <w:sz w:val="18"/>
              </w:rPr>
              <w:t>2026-07-14 to 2026-07-25</w:t>
            </w:r>
          </w:p>
        </w:tc>
      </w:tr>
      <w:tr>
        <w:tc>
          <w:tcPr>
            <w:tcW w:type="dxa" w:w="4706"/>
          </w:tcPr>
          <w:p>
            <w:pPr>
              <w:spacing w:after="40"/>
            </w:pPr>
            <w:r>
              <w:rPr>
                <w:sz w:val="18"/>
              </w:rPr>
            </w:r>
            <w:r>
              <w:rPr>
                <w:sz w:val="18"/>
              </w:rPr>
              <w:t>Test set</w:t>
            </w:r>
          </w:p>
        </w:tc>
        <w:tc>
          <w:tcPr>
            <w:tcW w:type="dxa" w:w="4706"/>
          </w:tcPr>
          <w:p>
            <w:pPr>
              <w:spacing w:after="40"/>
            </w:pPr>
            <w:r>
              <w:rPr>
                <w:sz w:val="18"/>
              </w:rPr>
            </w:r>
            <w:r>
              <w:rPr>
                <w:sz w:val="18"/>
              </w:rPr>
              <w:t>600 documents, human-labelled, held out from all prompt development</w:t>
            </w:r>
          </w:p>
        </w:tc>
      </w:tr>
    </w:tbl>
    <w:p>
      <w:pPr>
        <w:spacing w:after="40"/>
      </w:pPr>
    </w:p>
    <w:p>
      <w:pPr>
        <w:pStyle w:val="Heading1"/>
      </w:pPr>
      <w:r>
        <w:t>1. The recommendation, first</w:t>
      </w:r>
    </w:p>
    <w:p>
      <w:r>
        <w:rPr>
          <w:b/>
        </w:rPr>
        <w:t>Model B.</w:t>
      </w:r>
      <w:r>
        <w:t xml:space="preserve"> Not the highest accuracy, Model A scores 2.1 points higher, but it meets the latency budget, costs a third as much at our volume, and its errors are the recoverable kind.</w:t>
      </w:r>
    </w:p>
    <w:p>
      <w:r>
        <w:t>The 2.1 points are worth roughly 840 documents a month. The cost difference is $4,100 a month. Both numbers are in section 4, which is where the decision was actually made.</w:t>
      </w:r>
    </w:p>
    <w:p>
      <w:pPr>
        <w:pStyle w:val="Heading1"/>
      </w:pPr>
      <w:r>
        <w:t>2. Accuracy on our task</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Model A</w:t>
            </w:r>
          </w:p>
        </w:tc>
        <w:tc>
          <w:tcPr>
            <w:tcW w:type="dxa" w:w="2353"/>
            <w:shd w:val="clear" w:color="auto" w:fill="F1EAFE"/>
          </w:tcPr>
          <w:p>
            <w:pPr>
              <w:spacing w:after="40"/>
            </w:pPr>
            <w:r>
              <w:rPr>
                <w:b/>
                <w:sz w:val="18"/>
              </w:rPr>
            </w:r>
            <w:r>
              <w:rPr>
                <w:b/>
                <w:sz w:val="18"/>
              </w:rPr>
              <w:t>Model B</w:t>
            </w:r>
          </w:p>
        </w:tc>
        <w:tc>
          <w:tcPr>
            <w:tcW w:type="dxa" w:w="2353"/>
            <w:shd w:val="clear" w:color="auto" w:fill="F1EAFE"/>
          </w:tcPr>
          <w:p>
            <w:pPr>
              <w:spacing w:after="40"/>
            </w:pPr>
            <w:r>
              <w:rPr>
                <w:b/>
                <w:sz w:val="18"/>
              </w:rPr>
            </w:r>
            <w:r>
              <w:rPr>
                <w:b/>
                <w:sz w:val="18"/>
              </w:rPr>
              <w:t>Model C</w:t>
            </w:r>
          </w:p>
        </w:tc>
      </w:tr>
      <w:tr>
        <w:tc>
          <w:tcPr>
            <w:tcW w:type="dxa" w:w="2353"/>
          </w:tcPr>
          <w:p>
            <w:pPr>
              <w:spacing w:after="40"/>
            </w:pPr>
            <w:r>
              <w:rPr>
                <w:sz w:val="18"/>
              </w:rPr>
            </w:r>
            <w:r>
              <w:rPr>
                <w:sz w:val="18"/>
              </w:rPr>
              <w:t>Document type correct</w:t>
            </w:r>
          </w:p>
        </w:tc>
        <w:tc>
          <w:tcPr>
            <w:tcW w:type="dxa" w:w="2353"/>
          </w:tcPr>
          <w:p>
            <w:pPr>
              <w:spacing w:after="40"/>
            </w:pPr>
            <w:r>
              <w:rPr>
                <w:sz w:val="18"/>
              </w:rPr>
            </w:r>
            <w:r>
              <w:rPr>
                <w:sz w:val="18"/>
              </w:rPr>
              <w:t>96.4%</w:t>
            </w:r>
          </w:p>
        </w:tc>
        <w:tc>
          <w:tcPr>
            <w:tcW w:type="dxa" w:w="2353"/>
          </w:tcPr>
          <w:p>
            <w:pPr>
              <w:spacing w:after="40"/>
            </w:pPr>
            <w:r>
              <w:rPr>
                <w:sz w:val="18"/>
              </w:rPr>
            </w:r>
            <w:r>
              <w:rPr>
                <w:sz w:val="18"/>
              </w:rPr>
              <w:t>94.3%</w:t>
            </w:r>
          </w:p>
        </w:tc>
        <w:tc>
          <w:tcPr>
            <w:tcW w:type="dxa" w:w="2353"/>
          </w:tcPr>
          <w:p>
            <w:pPr>
              <w:spacing w:after="40"/>
            </w:pPr>
            <w:r>
              <w:rPr>
                <w:sz w:val="18"/>
              </w:rPr>
            </w:r>
            <w:r>
              <w:rPr>
                <w:sz w:val="18"/>
              </w:rPr>
              <w:t>89.1%</w:t>
            </w:r>
          </w:p>
        </w:tc>
      </w:tr>
      <w:tr>
        <w:tc>
          <w:tcPr>
            <w:tcW w:type="dxa" w:w="2353"/>
          </w:tcPr>
          <w:p>
            <w:pPr>
              <w:spacing w:after="40"/>
            </w:pPr>
            <w:r>
              <w:rPr>
                <w:sz w:val="18"/>
              </w:rPr>
            </w:r>
            <w:r>
              <w:rPr>
                <w:sz w:val="18"/>
              </w:rPr>
              <w:t>All 6 fields correct</w:t>
            </w:r>
          </w:p>
        </w:tc>
        <w:tc>
          <w:tcPr>
            <w:tcW w:type="dxa" w:w="2353"/>
          </w:tcPr>
          <w:p>
            <w:pPr>
              <w:spacing w:after="40"/>
            </w:pPr>
            <w:r>
              <w:rPr>
                <w:sz w:val="18"/>
              </w:rPr>
            </w:r>
            <w:r>
              <w:rPr>
                <w:sz w:val="18"/>
              </w:rPr>
              <w:t>88.2%</w:t>
            </w:r>
          </w:p>
        </w:tc>
        <w:tc>
          <w:tcPr>
            <w:tcW w:type="dxa" w:w="2353"/>
          </w:tcPr>
          <w:p>
            <w:pPr>
              <w:spacing w:after="40"/>
            </w:pPr>
            <w:r>
              <w:rPr>
                <w:sz w:val="18"/>
              </w:rPr>
            </w:r>
            <w:r>
              <w:rPr>
                <w:sz w:val="18"/>
              </w:rPr>
              <w:t>86.9%</w:t>
            </w:r>
          </w:p>
        </w:tc>
        <w:tc>
          <w:tcPr>
            <w:tcW w:type="dxa" w:w="2353"/>
          </w:tcPr>
          <w:p>
            <w:pPr>
              <w:spacing w:after="40"/>
            </w:pPr>
            <w:r>
              <w:rPr>
                <w:sz w:val="18"/>
              </w:rPr>
            </w:r>
            <w:r>
              <w:rPr>
                <w:sz w:val="18"/>
              </w:rPr>
              <w:t>74.5%</w:t>
            </w:r>
          </w:p>
        </w:tc>
      </w:tr>
      <w:tr>
        <w:tc>
          <w:tcPr>
            <w:tcW w:type="dxa" w:w="2353"/>
          </w:tcPr>
          <w:p>
            <w:pPr>
              <w:spacing w:after="40"/>
            </w:pPr>
            <w:r>
              <w:rPr>
                <w:sz w:val="18"/>
              </w:rPr>
            </w:r>
            <w:r>
              <w:rPr>
                <w:sz w:val="18"/>
              </w:rPr>
              <w:t>At least one field wrong</w:t>
            </w:r>
          </w:p>
        </w:tc>
        <w:tc>
          <w:tcPr>
            <w:tcW w:type="dxa" w:w="2353"/>
          </w:tcPr>
          <w:p>
            <w:pPr>
              <w:spacing w:after="40"/>
            </w:pPr>
            <w:r>
              <w:rPr>
                <w:sz w:val="18"/>
              </w:rPr>
            </w:r>
            <w:r>
              <w:rPr>
                <w:sz w:val="18"/>
              </w:rPr>
              <w:t>11.8%</w:t>
            </w:r>
          </w:p>
        </w:tc>
        <w:tc>
          <w:tcPr>
            <w:tcW w:type="dxa" w:w="2353"/>
          </w:tcPr>
          <w:p>
            <w:pPr>
              <w:spacing w:after="40"/>
            </w:pPr>
            <w:r>
              <w:rPr>
                <w:sz w:val="18"/>
              </w:rPr>
            </w:r>
            <w:r>
              <w:rPr>
                <w:sz w:val="18"/>
              </w:rPr>
              <w:t>13.1%</w:t>
            </w:r>
          </w:p>
        </w:tc>
        <w:tc>
          <w:tcPr>
            <w:tcW w:type="dxa" w:w="2353"/>
          </w:tcPr>
          <w:p>
            <w:pPr>
              <w:spacing w:after="40"/>
            </w:pPr>
            <w:r>
              <w:rPr>
                <w:sz w:val="18"/>
              </w:rPr>
            </w:r>
            <w:r>
              <w:rPr>
                <w:sz w:val="18"/>
              </w:rPr>
              <w:t>25.5%</w:t>
            </w:r>
          </w:p>
        </w:tc>
      </w:tr>
      <w:tr>
        <w:tc>
          <w:tcPr>
            <w:tcW w:type="dxa" w:w="2353"/>
          </w:tcPr>
          <w:p>
            <w:pPr>
              <w:spacing w:after="40"/>
            </w:pPr>
            <w:r>
              <w:rPr>
                <w:sz w:val="18"/>
              </w:rPr>
            </w:r>
            <w:r>
              <w:rPr>
                <w:sz w:val="18"/>
              </w:rPr>
              <w:t>Refused or returned nothing</w:t>
            </w:r>
          </w:p>
        </w:tc>
        <w:tc>
          <w:tcPr>
            <w:tcW w:type="dxa" w:w="2353"/>
          </w:tcPr>
          <w:p>
            <w:pPr>
              <w:spacing w:after="40"/>
            </w:pPr>
            <w:r>
              <w:rPr>
                <w:sz w:val="18"/>
              </w:rPr>
            </w:r>
            <w:r>
              <w:rPr>
                <w:sz w:val="18"/>
              </w:rPr>
              <w:t>0.3%</w:t>
            </w:r>
          </w:p>
        </w:tc>
        <w:tc>
          <w:tcPr>
            <w:tcW w:type="dxa" w:w="2353"/>
          </w:tcPr>
          <w:p>
            <w:pPr>
              <w:spacing w:after="40"/>
            </w:pPr>
            <w:r>
              <w:rPr>
                <w:sz w:val="18"/>
              </w:rPr>
            </w:r>
            <w:r>
              <w:rPr>
                <w:sz w:val="18"/>
              </w:rPr>
              <w:t>0.8%</w:t>
            </w:r>
          </w:p>
        </w:tc>
        <w:tc>
          <w:tcPr>
            <w:tcW w:type="dxa" w:w="2353"/>
          </w:tcPr>
          <w:p>
            <w:pPr>
              <w:spacing w:after="40"/>
            </w:pPr>
            <w:r>
              <w:rPr>
                <w:sz w:val="18"/>
              </w:rPr>
            </w:r>
            <w:r>
              <w:rPr>
                <w:sz w:val="18"/>
              </w:rPr>
              <w:t>2.1%</w:t>
            </w:r>
          </w:p>
        </w:tc>
      </w:tr>
    </w:tbl>
    <w:p>
      <w:pPr>
        <w:spacing w:after="40"/>
      </w:pPr>
    </w:p>
    <w:p>
      <w:r>
        <w:t>Model C is eliminated here. Its extraction accuracy is not within reach of the other two, and its 2.1% non-response rate would put roughly 840 documents a month into a queue that does not currently exist.</w:t>
      </w:r>
    </w:p>
    <w:p>
      <w:pPr>
        <w:pStyle w:val="Heading1"/>
      </w:pPr>
      <w:r>
        <w:t>3. The errors are not the same shape</w:t>
      </w:r>
    </w:p>
    <w:p>
      <w:r>
        <w:t>This section changed the decision, and it does not appear in any benchmark.</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r>
              <w:rPr>
                <w:b/>
                <w:sz w:val="18"/>
              </w:rPr>
              <w:t>Error type</w:t>
            </w:r>
          </w:p>
        </w:tc>
        <w:tc>
          <w:tcPr>
            <w:tcW w:type="dxa" w:w="2353"/>
            <w:shd w:val="clear" w:color="auto" w:fill="F1EAFE"/>
          </w:tcPr>
          <w:p>
            <w:pPr>
              <w:spacing w:after="40"/>
            </w:pPr>
            <w:r>
              <w:rPr>
                <w:b/>
                <w:sz w:val="18"/>
              </w:rPr>
            </w:r>
            <w:r>
              <w:rPr>
                <w:b/>
                <w:sz w:val="18"/>
              </w:rPr>
              <w:t>Model A</w:t>
            </w:r>
          </w:p>
        </w:tc>
        <w:tc>
          <w:tcPr>
            <w:tcW w:type="dxa" w:w="2353"/>
            <w:shd w:val="clear" w:color="auto" w:fill="F1EAFE"/>
          </w:tcPr>
          <w:p>
            <w:pPr>
              <w:spacing w:after="40"/>
            </w:pPr>
            <w:r>
              <w:rPr>
                <w:b/>
                <w:sz w:val="18"/>
              </w:rPr>
            </w:r>
            <w:r>
              <w:rPr>
                <w:b/>
                <w:sz w:val="18"/>
              </w:rPr>
              <w:t>Model B</w:t>
            </w:r>
          </w:p>
        </w:tc>
        <w:tc>
          <w:tcPr>
            <w:tcW w:type="dxa" w:w="2353"/>
            <w:shd w:val="clear" w:color="auto" w:fill="F1EAFE"/>
          </w:tcPr>
          <w:p>
            <w:pPr>
              <w:spacing w:after="40"/>
            </w:pPr>
            <w:r>
              <w:rPr>
                <w:b/>
                <w:sz w:val="18"/>
              </w:rPr>
            </w:r>
            <w:r>
              <w:rPr>
                <w:b/>
                <w:sz w:val="18"/>
              </w:rPr>
              <w:t>Recoverable?</w:t>
            </w:r>
          </w:p>
        </w:tc>
      </w:tr>
      <w:tr>
        <w:tc>
          <w:tcPr>
            <w:tcW w:type="dxa" w:w="2353"/>
          </w:tcPr>
          <w:p>
            <w:pPr>
              <w:spacing w:after="40"/>
            </w:pPr>
            <w:r>
              <w:rPr>
                <w:sz w:val="18"/>
              </w:rPr>
            </w:r>
            <w:r>
              <w:rPr>
                <w:sz w:val="18"/>
              </w:rPr>
              <w:t>Field left empty</w:t>
            </w:r>
          </w:p>
        </w:tc>
        <w:tc>
          <w:tcPr>
            <w:tcW w:type="dxa" w:w="2353"/>
          </w:tcPr>
          <w:p>
            <w:pPr>
              <w:spacing w:after="40"/>
            </w:pPr>
            <w:r>
              <w:rPr>
                <w:sz w:val="18"/>
              </w:rPr>
            </w:r>
            <w:r>
              <w:rPr>
                <w:sz w:val="18"/>
              </w:rPr>
              <w:t>2.1%</w:t>
            </w:r>
          </w:p>
        </w:tc>
        <w:tc>
          <w:tcPr>
            <w:tcW w:type="dxa" w:w="2353"/>
          </w:tcPr>
          <w:p>
            <w:pPr>
              <w:spacing w:after="40"/>
            </w:pPr>
            <w:r>
              <w:rPr>
                <w:sz w:val="18"/>
              </w:rPr>
            </w:r>
            <w:r>
              <w:rPr>
                <w:sz w:val="18"/>
              </w:rPr>
              <w:t>7.4%</w:t>
            </w:r>
          </w:p>
        </w:tc>
        <w:tc>
          <w:tcPr>
            <w:tcW w:type="dxa" w:w="2353"/>
          </w:tcPr>
          <w:p>
            <w:pPr>
              <w:spacing w:after="40"/>
            </w:pPr>
            <w:r>
              <w:rPr>
                <w:sz w:val="18"/>
              </w:rPr>
            </w:r>
            <w:r>
              <w:rPr>
                <w:b/>
                <w:sz w:val="18"/>
              </w:rPr>
              <w:t>Yes</w:t>
            </w:r>
            <w:r>
              <w:rPr>
                <w:sz w:val="18"/>
              </w:rPr>
              <w:t>, routed to a person</w:t>
            </w:r>
          </w:p>
        </w:tc>
      </w:tr>
      <w:tr>
        <w:tc>
          <w:tcPr>
            <w:tcW w:type="dxa" w:w="2353"/>
          </w:tcPr>
          <w:p>
            <w:pPr>
              <w:spacing w:after="40"/>
            </w:pPr>
            <w:r>
              <w:rPr>
                <w:sz w:val="18"/>
              </w:rPr>
            </w:r>
            <w:r>
              <w:rPr>
                <w:sz w:val="18"/>
              </w:rPr>
              <w:t>Field filled with a plausible wrong value</w:t>
            </w:r>
          </w:p>
        </w:tc>
        <w:tc>
          <w:tcPr>
            <w:tcW w:type="dxa" w:w="2353"/>
          </w:tcPr>
          <w:p>
            <w:pPr>
              <w:spacing w:after="40"/>
            </w:pPr>
            <w:r>
              <w:rPr>
                <w:sz w:val="18"/>
              </w:rPr>
            </w:r>
            <w:r>
              <w:rPr>
                <w:sz w:val="18"/>
              </w:rPr>
              <w:t>6.8%</w:t>
            </w:r>
          </w:p>
        </w:tc>
        <w:tc>
          <w:tcPr>
            <w:tcW w:type="dxa" w:w="2353"/>
          </w:tcPr>
          <w:p>
            <w:pPr>
              <w:spacing w:after="40"/>
            </w:pPr>
            <w:r>
              <w:rPr>
                <w:sz w:val="18"/>
              </w:rPr>
            </w:r>
            <w:r>
              <w:rPr>
                <w:sz w:val="18"/>
              </w:rPr>
              <w:t>2.9%</w:t>
            </w:r>
          </w:p>
        </w:tc>
        <w:tc>
          <w:tcPr>
            <w:tcW w:type="dxa" w:w="2353"/>
          </w:tcPr>
          <w:p>
            <w:pPr>
              <w:spacing w:after="40"/>
            </w:pPr>
            <w:r>
              <w:rPr>
                <w:sz w:val="18"/>
              </w:rPr>
            </w:r>
            <w:r>
              <w:rPr>
                <w:b/>
                <w:sz w:val="18"/>
              </w:rPr>
              <w:t>No</w:t>
            </w:r>
            <w:r>
              <w:rPr>
                <w:sz w:val="18"/>
              </w:rPr>
              <w:t>, looks correct downstream</w:t>
            </w:r>
          </w:p>
        </w:tc>
      </w:tr>
      <w:tr>
        <w:tc>
          <w:tcPr>
            <w:tcW w:type="dxa" w:w="2353"/>
          </w:tcPr>
          <w:p>
            <w:pPr>
              <w:spacing w:after="40"/>
            </w:pPr>
            <w:r>
              <w:rPr>
                <w:sz w:val="18"/>
              </w:rPr>
            </w:r>
            <w:r>
              <w:rPr>
                <w:sz w:val="18"/>
              </w:rPr>
              <w:t>Wrong document type, confidently</w:t>
            </w:r>
          </w:p>
        </w:tc>
        <w:tc>
          <w:tcPr>
            <w:tcW w:type="dxa" w:w="2353"/>
          </w:tcPr>
          <w:p>
            <w:pPr>
              <w:spacing w:after="40"/>
            </w:pPr>
            <w:r>
              <w:rPr>
                <w:sz w:val="18"/>
              </w:rPr>
            </w:r>
            <w:r>
              <w:rPr>
                <w:sz w:val="18"/>
              </w:rPr>
              <w:t>2.9%</w:t>
            </w:r>
          </w:p>
        </w:tc>
        <w:tc>
          <w:tcPr>
            <w:tcW w:type="dxa" w:w="2353"/>
          </w:tcPr>
          <w:p>
            <w:pPr>
              <w:spacing w:after="40"/>
            </w:pPr>
            <w:r>
              <w:rPr>
                <w:sz w:val="18"/>
              </w:rPr>
            </w:r>
            <w:r>
              <w:rPr>
                <w:sz w:val="18"/>
              </w:rPr>
              <w:t>2.8%</w:t>
            </w:r>
          </w:p>
        </w:tc>
        <w:tc>
          <w:tcPr>
            <w:tcW w:type="dxa" w:w="2353"/>
          </w:tcPr>
          <w:p>
            <w:pPr>
              <w:spacing w:after="40"/>
            </w:pPr>
            <w:r>
              <w:rPr>
                <w:sz w:val="18"/>
              </w:rPr>
            </w:r>
            <w:r>
              <w:rPr>
                <w:sz w:val="18"/>
              </w:rPr>
              <w:t>Partly, caught in review</w:t>
            </w:r>
          </w:p>
        </w:tc>
      </w:tr>
    </w:tbl>
    <w:p>
      <w:pPr>
        <w:spacing w:after="40"/>
      </w:pPr>
    </w:p>
    <w:p>
      <w:r>
        <w:rPr>
          <w:b/>
        </w:rPr>
        <w:t>Model A is more accurate overall and fails worse.</w:t>
      </w:r>
      <w:r>
        <w:t xml:space="preserve"> It guesses. When it cannot read a date, it produces a date, and a plausible wrong date flows into a system that has no way to know it is wrong.</w:t>
      </w:r>
    </w:p>
    <w:p>
      <w:r>
        <w:t>Model B leaves the field empty more often. That is a visible failure: empty fields route to a person, and the person fixes them in about 20 seconds. Our downstream process has a queue for empty and no defence at all against wrong.</w:t>
      </w:r>
    </w:p>
    <w:p>
      <w:r>
        <w:t>For this task, a recoverable error at 7.4% is preferable to an unrecoverable one at 6.8%.</w:t>
      </w:r>
    </w:p>
    <w:p>
      <w:pPr>
        <w:pStyle w:val="Heading1"/>
      </w:pPr>
      <w:r>
        <w:t>4. Cost and latency at our volume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Model A</w:t>
            </w:r>
          </w:p>
        </w:tc>
        <w:tc>
          <w:tcPr>
            <w:tcW w:type="dxa" w:w="3137"/>
            <w:shd w:val="clear" w:color="auto" w:fill="F1EAFE"/>
          </w:tcPr>
          <w:p>
            <w:pPr>
              <w:spacing w:after="40"/>
            </w:pPr>
            <w:r>
              <w:rPr>
                <w:b/>
                <w:sz w:val="18"/>
              </w:rPr>
            </w:r>
            <w:r>
              <w:rPr>
                <w:b/>
                <w:sz w:val="18"/>
              </w:rPr>
              <w:t>Model B</w:t>
            </w:r>
          </w:p>
        </w:tc>
      </w:tr>
      <w:tr>
        <w:tc>
          <w:tcPr>
            <w:tcW w:type="dxa" w:w="3137"/>
          </w:tcPr>
          <w:p>
            <w:pPr>
              <w:spacing w:after="40"/>
            </w:pPr>
            <w:r>
              <w:rPr>
                <w:sz w:val="18"/>
              </w:rPr>
            </w:r>
            <w:r>
              <w:rPr>
                <w:sz w:val="18"/>
              </w:rPr>
              <w:t>Cost per document</w:t>
            </w:r>
          </w:p>
        </w:tc>
        <w:tc>
          <w:tcPr>
            <w:tcW w:type="dxa" w:w="3137"/>
          </w:tcPr>
          <w:p>
            <w:pPr>
              <w:spacing w:after="40"/>
            </w:pPr>
            <w:r>
              <w:rPr>
                <w:sz w:val="18"/>
              </w:rPr>
            </w:r>
            <w:r>
              <w:rPr>
                <w:sz w:val="18"/>
              </w:rPr>
              <w:t>$0.152</w:t>
            </w:r>
          </w:p>
        </w:tc>
        <w:tc>
          <w:tcPr>
            <w:tcW w:type="dxa" w:w="3137"/>
          </w:tcPr>
          <w:p>
            <w:pPr>
              <w:spacing w:after="40"/>
            </w:pPr>
            <w:r>
              <w:rPr>
                <w:sz w:val="18"/>
              </w:rPr>
            </w:r>
            <w:r>
              <w:rPr>
                <w:sz w:val="18"/>
              </w:rPr>
              <w:t>$0.049</w:t>
            </w:r>
          </w:p>
        </w:tc>
      </w:tr>
      <w:tr>
        <w:tc>
          <w:tcPr>
            <w:tcW w:type="dxa" w:w="3137"/>
          </w:tcPr>
          <w:p>
            <w:pPr>
              <w:spacing w:after="40"/>
            </w:pPr>
            <w:r>
              <w:rPr>
                <w:sz w:val="18"/>
              </w:rPr>
            </w:r>
            <w:r>
              <w:rPr>
                <w:b/>
                <w:sz w:val="18"/>
              </w:rPr>
              <w:t>Monthly at 40,000</w:t>
            </w:r>
          </w:p>
        </w:tc>
        <w:tc>
          <w:tcPr>
            <w:tcW w:type="dxa" w:w="3137"/>
          </w:tcPr>
          <w:p>
            <w:pPr>
              <w:spacing w:after="40"/>
            </w:pPr>
            <w:r>
              <w:rPr>
                <w:sz w:val="18"/>
              </w:rPr>
            </w:r>
            <w:r>
              <w:rPr>
                <w:b/>
                <w:sz w:val="18"/>
              </w:rPr>
              <w:t>$6,080</w:t>
            </w:r>
          </w:p>
        </w:tc>
        <w:tc>
          <w:tcPr>
            <w:tcW w:type="dxa" w:w="3137"/>
          </w:tcPr>
          <w:p>
            <w:pPr>
              <w:spacing w:after="40"/>
            </w:pPr>
            <w:r>
              <w:rPr>
                <w:sz w:val="18"/>
              </w:rPr>
            </w:r>
            <w:r>
              <w:rPr>
                <w:b/>
                <w:sz w:val="18"/>
              </w:rPr>
              <w:t>$1,960</w:t>
            </w:r>
          </w:p>
        </w:tc>
      </w:tr>
      <w:tr>
        <w:tc>
          <w:tcPr>
            <w:tcW w:type="dxa" w:w="3137"/>
          </w:tcPr>
          <w:p>
            <w:pPr>
              <w:spacing w:after="40"/>
            </w:pPr>
            <w:r>
              <w:rPr>
                <w:sz w:val="18"/>
              </w:rPr>
            </w:r>
            <w:r>
              <w:rPr>
                <w:sz w:val="18"/>
              </w:rPr>
              <w:t>Median latency</w:t>
            </w:r>
          </w:p>
        </w:tc>
        <w:tc>
          <w:tcPr>
            <w:tcW w:type="dxa" w:w="3137"/>
          </w:tcPr>
          <w:p>
            <w:pPr>
              <w:spacing w:after="40"/>
            </w:pPr>
            <w:r>
              <w:rPr>
                <w:sz w:val="18"/>
              </w:rPr>
            </w:r>
            <w:r>
              <w:rPr>
                <w:sz w:val="18"/>
              </w:rPr>
              <w:t>3.1 s</w:t>
            </w:r>
          </w:p>
        </w:tc>
        <w:tc>
          <w:tcPr>
            <w:tcW w:type="dxa" w:w="3137"/>
          </w:tcPr>
          <w:p>
            <w:pPr>
              <w:spacing w:after="40"/>
            </w:pPr>
            <w:r>
              <w:rPr>
                <w:sz w:val="18"/>
              </w:rPr>
            </w:r>
            <w:r>
              <w:rPr>
                <w:sz w:val="18"/>
              </w:rPr>
              <w:t>1.4 s</w:t>
            </w:r>
          </w:p>
        </w:tc>
      </w:tr>
      <w:tr>
        <w:tc>
          <w:tcPr>
            <w:tcW w:type="dxa" w:w="3137"/>
          </w:tcPr>
          <w:p>
            <w:pPr>
              <w:spacing w:after="40"/>
            </w:pPr>
            <w:r>
              <w:rPr>
                <w:sz w:val="18"/>
              </w:rPr>
            </w:r>
            <w:r>
              <w:rPr>
                <w:sz w:val="18"/>
              </w:rPr>
              <w:t>95th percentile</w:t>
            </w:r>
          </w:p>
        </w:tc>
        <w:tc>
          <w:tcPr>
            <w:tcW w:type="dxa" w:w="3137"/>
          </w:tcPr>
          <w:p>
            <w:pPr>
              <w:spacing w:after="40"/>
            </w:pPr>
            <w:r>
              <w:rPr>
                <w:sz w:val="18"/>
              </w:rPr>
            </w:r>
            <w:r>
              <w:rPr>
                <w:b/>
                <w:sz w:val="18"/>
              </w:rPr>
              <w:t>6.8 s</w:t>
            </w:r>
          </w:p>
        </w:tc>
        <w:tc>
          <w:tcPr>
            <w:tcW w:type="dxa" w:w="3137"/>
          </w:tcPr>
          <w:p>
            <w:pPr>
              <w:spacing w:after="40"/>
            </w:pPr>
            <w:r>
              <w:rPr>
                <w:sz w:val="18"/>
              </w:rPr>
            </w:r>
            <w:r>
              <w:rPr>
                <w:sz w:val="18"/>
              </w:rPr>
              <w:t>2.9 s</w:t>
            </w:r>
          </w:p>
        </w:tc>
      </w:tr>
      <w:tr>
        <w:tc>
          <w:tcPr>
            <w:tcW w:type="dxa" w:w="3137"/>
          </w:tcPr>
          <w:p>
            <w:pPr>
              <w:spacing w:after="40"/>
            </w:pPr>
            <w:r>
              <w:rPr>
                <w:sz w:val="18"/>
              </w:rPr>
            </w:r>
            <w:r>
              <w:rPr>
                <w:sz w:val="18"/>
              </w:rPr>
              <w:t>Within the 4-second budget</w:t>
            </w:r>
          </w:p>
        </w:tc>
        <w:tc>
          <w:tcPr>
            <w:tcW w:type="dxa" w:w="3137"/>
          </w:tcPr>
          <w:p>
            <w:pPr>
              <w:spacing w:after="40"/>
            </w:pPr>
            <w:r>
              <w:rPr>
                <w:sz w:val="18"/>
              </w:rPr>
            </w:r>
            <w:r>
              <w:rPr>
                <w:b/>
                <w:sz w:val="18"/>
              </w:rPr>
              <w:t>No</w:t>
            </w:r>
          </w:p>
        </w:tc>
        <w:tc>
          <w:tcPr>
            <w:tcW w:type="dxa" w:w="3137"/>
          </w:tcPr>
          <w:p>
            <w:pPr>
              <w:spacing w:after="40"/>
            </w:pPr>
            <w:r>
              <w:rPr>
                <w:sz w:val="18"/>
              </w:rPr>
            </w:r>
            <w:r>
              <w:rPr>
                <w:sz w:val="18"/>
              </w:rPr>
              <w:t>Yes</w:t>
            </w:r>
          </w:p>
        </w:tc>
      </w:tr>
    </w:tbl>
    <w:p>
      <w:pPr>
        <w:spacing w:after="40"/>
      </w:pPr>
    </w:p>
    <w:p>
      <w:r>
        <w:t>Model A fails the latency requirement at the 95th percentile. That alone would settle it, independent of everything above: the budget exists because documents are classified while a customer is waiting.</w:t>
      </w:r>
    </w:p>
    <w:p>
      <w:r>
        <w:t xml:space="preserve">The accuracy difference costs about 840 additional documents needing correction each month, at roughly 20 seconds each: </w:t>
      </w:r>
      <w:r>
        <w:rPr>
          <w:b/>
        </w:rPr>
        <w:t>4.7 hours of human time</w:t>
      </w:r>
      <w:r>
        <w:t>. Against $4,120 a month in additional model spend. The arithmetic is not close.</w:t>
      </w:r>
    </w:p>
    <w:p>
      <w:pPr>
        <w:pStyle w:val="Heading1"/>
      </w:pPr>
      <w:r>
        <w:t>5. What we did not test, and why it matters</w:t>
      </w:r>
    </w:p>
    <w:p>
      <w:r>
        <w:t>Stated plainly, because an evaluation that hides its gaps invites more confidence than it earned.</w:t>
      </w:r>
    </w:p>
    <w:p>
      <w:pPr>
        <w:pStyle w:val="ListBullet"/>
      </w:pPr>
      <w:r>
        <w:rPr>
          <w:b/>
        </w:rPr>
        <w:t>Robustness to poor scans</w:t>
      </w:r>
      <w:r>
        <w:t xml:space="preserve"> is under-represented. The test set came from recent documents,</w:t>
      </w:r>
    </w:p>
    <w:p>
      <w:r>
        <w:t>which are cleaner than the archive.</w:t>
      </w:r>
    </w:p>
    <w:p>
      <w:pPr>
        <w:pStyle w:val="ListBullet"/>
      </w:pPr>
      <w:r>
        <w:rPr>
          <w:b/>
        </w:rPr>
        <w:t>Behaviour on document types outside the 14</w:t>
      </w:r>
      <w:r>
        <w:t xml:space="preserve"> was not tested at all. In production these</w:t>
      </w:r>
    </w:p>
    <w:p>
      <w:r>
        <w:t>exist and we do not know what any model does with them.</w:t>
      </w:r>
    </w:p>
    <w:p>
      <w:pPr>
        <w:pStyle w:val="ListBullet"/>
      </w:pPr>
      <w:r>
        <w:rPr>
          <w:b/>
        </w:rPr>
        <w:t>Stability across model versions</w:t>
      </w:r>
      <w:r>
        <w:t xml:space="preserve"> is unknown by definition. Both providers update models;</w:t>
      </w:r>
    </w:p>
    <w:p>
      <w:r>
        <w:t>neither guarantees behaviour is preserved.</w:t>
      </w:r>
    </w:p>
    <w:p>
      <w:pPr>
        <w:pStyle w:val="ListBullet"/>
      </w:pPr>
      <w:r>
        <w:rPr>
          <w:b/>
        </w:rPr>
        <w:t>Prompt sensitivity</w:t>
      </w:r>
      <w:r>
        <w:t xml:space="preserve"> was only lightly probed. Model B may be more sensitive to prompt</w:t>
      </w:r>
    </w:p>
    <w:p>
      <w:r>
        <w:t>changes than these results suggest.</w:t>
      </w:r>
    </w:p>
    <w:p>
      <w:r>
        <w:t>The first and last of these are the largest risks to the recommendation.</w:t>
      </w:r>
    </w:p>
    <w:p>
      <w:pPr>
        <w:pStyle w:val="Heading1"/>
      </w:pPr>
      <w:r>
        <w:t>6. Why published benchmarks did not decide this</w:t>
      </w:r>
    </w:p>
    <w:p>
      <w:r>
        <w:t>Model A leads Model B on every public benchmark either provider cites. On our task the gap is 2.1 points, it reverses entirely once error shape is considered, and it disappears under the latency requirement.</w:t>
      </w:r>
    </w:p>
    <w:p>
      <w:r>
        <w:t xml:space="preserve">Benchmarks measure general capability on tasks that are not ours, with prompts that are not ours, at volumes where cost is not a consideration. They are useful for building a shortlist. </w:t>
      </w:r>
      <w:r>
        <w:rPr>
          <w:b/>
        </w:rPr>
        <w:t>They cannot select a model, because they do not know what a wrong answer costs you.</w:t>
      </w:r>
    </w:p>
    <w:p>
      <w:pPr>
        <w:pStyle w:val="Heading1"/>
      </w:pPr>
      <w:r>
        <w:t>7. Decision and re-evaluation</w:t>
      </w:r>
    </w:p>
    <w:p>
      <w:r>
        <w:rPr>
          <w:b/>
        </w:rPr>
        <w:t>Adopt Model B.</w:t>
      </w:r>
      <w:r>
        <w:t xml:space="preserve"> Empty-field routing is required before launch, the 7.4% rate depends on those documents reaching a person.</w:t>
      </w:r>
    </w:p>
    <w:p>
      <w:r>
        <w:t>Re-evaluate when any of these occur, not on a calendar:</w:t>
      </w:r>
    </w:p>
    <w:p>
      <w:pPr>
        <w:pStyle w:val="ListBullet"/>
      </w:pPr>
      <w:r>
        <w:t>Either provider ships a new version of the model in use</w:t>
      </w:r>
    </w:p>
    <w:p>
      <w:pPr>
        <w:pStyle w:val="ListBullet"/>
      </w:pPr>
      <w:r>
        <w:t>Monthly volume passes 80,000, where the cost gap doubles</w:t>
      </w:r>
    </w:p>
    <w:p>
      <w:pPr>
        <w:pStyle w:val="ListBullet"/>
      </w:pPr>
      <w:r>
        <w:t>The error mix in production diverges from this test set by more than a third</w:t>
      </w:r>
    </w:p>
    <w:p>
      <w:pPr>
        <w:pStyle w:val="ListBullet"/>
      </w:pPr>
      <w:r>
        <w:t>A new document type is added</w:t>
      </w:r>
    </w:p>
    <w:p>
      <w:r>
        <w:rPr>
          <w:b/>
        </w:rPr>
        <w:t>The 600-document test set is now a permanent asset.</w:t>
      </w:r>
      <w:r>
        <w:t xml:space="preserve"> It is the only thing that makes the next comparison a comparison rather than an impression.</w:t>
      </w:r>
    </w:p>
    <w:p>
      <w:r>
        <w:t>---</w:t>
      </w:r>
    </w:p>
    <w:p>
      <w:pPr>
        <w:pStyle w:val="Heading1"/>
      </w:pPr>
      <w:r>
        <w:t>Notes on using this format</w:t>
      </w:r>
    </w:p>
    <w:p>
      <w:r>
        <w:rPr>
          <w:b/>
        </w:rPr>
        <w:t>Lead with the recommendation and the reason it is not the highest score.</w:t>
      </w:r>
      <w:r>
        <w:t xml:space="preserve"> That is the sentence people need, and burying it makes the report an argument to be won rather than a decision to be understood.</w:t>
      </w:r>
    </w:p>
    <w:p>
      <w:r>
        <w:rPr>
          <w:b/>
        </w:rPr>
        <w:t>Classify errors by whether they are recoverable.</w:t>
      </w:r>
      <w:r>
        <w:t xml:space="preserve"> It is the most decision-relevant analysis here and it appears in almost no evaluation. A model that fails visibly can be operated around. One that fails plausibly cannot.</w:t>
      </w:r>
    </w:p>
    <w:p>
      <w:r>
        <w:rPr>
          <w:b/>
        </w:rPr>
        <w:t>Put cost and latency at your real volume in the same table as accuracy.</w:t>
      </w:r>
      <w:r>
        <w:t xml:space="preserve"> Separated, accuracy always wins the argument. Together, the trade-off is visible and often decisive.</w:t>
      </w:r>
    </w:p>
    <w:p>
      <w:r>
        <w:rPr>
          <w:b/>
        </w:rPr>
        <w:t>Say what was not tested.</w:t>
      </w:r>
      <w:r>
        <w:t xml:space="preserve"> Four gaps, stated in a paragraph, are what stop this report being read as more certain than it is.</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Model Selection Report: Sample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Selection Report: Sample</dc:title>
  <dc:subject/>
  <dc:creator>BvLogic</dc:creator>
  <cp:keywords>BvLogic, Report, enterprise AI, Model Selection Report: Sample</cp:keywords>
  <dc:description/>
  <cp:lastModifiedBy/>
  <cp:revision>1</cp:revision>
  <dcterms:created xsi:type="dcterms:W3CDTF">2013-12-23T23:15:00Z</dcterms:created>
  <dcterms:modified xsi:type="dcterms:W3CDTF">2013-12-23T23:15:00Z</dcterms:modified>
  <cp:category>Report</cp:category>
  <dc:language>en-GB</dc:language>
</cp:coreProperties>
</file>