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DIAGRAM</w:t>
      </w:r>
    </w:p>
    <w:p>
      <w:pPr>
        <w:spacing w:after="160"/>
      </w:pPr>
      <w:r>
        <w:rPr>
          <w:rFonts w:ascii="Georgia" w:hAnsi="Georgia"/>
          <w:b/>
          <w:color w:val="0F141A"/>
          <w:sz w:val="56"/>
        </w:rPr>
        <w:t>Calibrating a Model Judge: Diagram</w:t>
      </w:r>
    </w:p>
    <w:p>
      <w:pPr>
        <w:spacing w:after="560"/>
      </w:pPr>
      <w:r>
        <w:rPr>
          <w:color w:val="5B6471"/>
          <w:sz w:val="23"/>
        </w:rPr>
        <w:t>How to establish what a judge's verdicts are worth before relying on them, the human-labelled set, the agreement measurement, and the drift check that catches the judge changing underneath you.</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BVL-AC4A60</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Diagram</w:t>
            </w:r>
          </w:p>
        </w:tc>
      </w:tr>
    </w:tbl>
    <w:p>
      <w:pPr>
        <w:sectPr>
          <w:headerReference w:type="default" r:id="rId9"/>
          <w:pgSz w:w="11906" w:h="16838"/>
          <w:pgMar w:top="1417" w:right="1247" w:bottom="1417" w:left="1247" w:header="680" w:footer="680" w:gutter="0"/>
          <w:cols w:space="720"/>
          <w:docGrid w:linePitch="360"/>
        </w:sectPr>
      </w:pPr>
    </w:p>
    <w:p>
      <w:pPr>
        <w:pStyle w:val="Heading2"/>
      </w:pPr>
      <w:r>
        <w:t>Establish what the judge is worth, then use it</w:t>
      </w:r>
    </w:p>
    <w:p>
      <w:r>
        <w:rPr>
          <w:i/>
          <w:color w:val="5B6471"/>
          <w:sz w:val="19"/>
        </w:rPr>
        <w:t>The shaded step is the one that is skipped. Without it every downstream number is an assertion. The bottom lane is what stops the judge drifting silently when its model changes.</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r>
              <w:rPr>
                <w:sz w:val="18"/>
              </w:rPr>
            </w:r>
            <w:r>
              <w:rPr>
                <w:b/>
                <w:sz w:val="18"/>
              </w:rPr>
              <w:t>Stage</w:t>
            </w:r>
          </w:p>
        </w:tc>
        <w:tc>
          <w:tcPr>
            <w:tcW w:type="dxa" w:w="1882"/>
            <w:shd w:val="clear" w:color="auto" w:fill="F1EAFE"/>
          </w:tcPr>
          <w:p>
            <w:r>
              <w:rPr>
                <w:sz w:val="18"/>
              </w:rPr>
            </w:r>
            <w:r>
              <w:rPr>
                <w:b/>
                <w:sz w:val="18"/>
              </w:rPr>
              <w:t>Step 1</w:t>
            </w:r>
          </w:p>
        </w:tc>
        <w:tc>
          <w:tcPr>
            <w:tcW w:type="dxa" w:w="1882"/>
            <w:shd w:val="clear" w:color="auto" w:fill="F1EAFE"/>
          </w:tcPr>
          <w:p>
            <w:r>
              <w:rPr>
                <w:sz w:val="18"/>
              </w:rPr>
            </w:r>
            <w:r>
              <w:rPr>
                <w:b/>
                <w:sz w:val="18"/>
              </w:rPr>
              <w:t>Step 2</w:t>
            </w:r>
          </w:p>
        </w:tc>
        <w:tc>
          <w:tcPr>
            <w:tcW w:type="dxa" w:w="1882"/>
            <w:shd w:val="clear" w:color="auto" w:fill="F1EAFE"/>
          </w:tcPr>
          <w:p>
            <w:r>
              <w:rPr>
                <w:sz w:val="18"/>
              </w:rPr>
            </w:r>
            <w:r>
              <w:rPr>
                <w:b/>
                <w:sz w:val="18"/>
              </w:rPr>
              <w:t>Step 3</w:t>
            </w:r>
          </w:p>
        </w:tc>
        <w:tc>
          <w:tcPr>
            <w:tcW w:type="dxa" w:w="1882"/>
            <w:shd w:val="clear" w:color="auto" w:fill="F1EAFE"/>
          </w:tcPr>
          <w:p>
            <w:r>
              <w:rPr>
                <w:sz w:val="18"/>
              </w:rPr>
            </w:r>
            <w:r>
              <w:rPr>
                <w:b/>
                <w:sz w:val="18"/>
              </w:rPr>
              <w:t>Step 4</w:t>
            </w:r>
          </w:p>
        </w:tc>
      </w:tr>
      <w:tr>
        <w:tc>
          <w:tcPr>
            <w:tcW w:type="dxa" w:w="1882"/>
            <w:shd w:val="clear" w:color="auto" w:fill="F4F5F7"/>
          </w:tcPr>
          <w:p>
            <w:r/>
            <w:r>
              <w:rPr>
                <w:b/>
                <w:sz w:val="18"/>
              </w:rPr>
              <w:t>Build the reference</w:t>
            </w:r>
          </w:p>
        </w:tc>
        <w:tc>
          <w:tcPr>
            <w:tcW w:type="dxa" w:w="1882"/>
          </w:tcPr>
          <w:p>
            <w:r/>
            <w:r>
              <w:rPr>
                <w:sz w:val="18"/>
              </w:rPr>
              <w:t>Sample 200 real outputs</w:t>
            </w:r>
            <w:r>
              <w:rPr>
                <w:i/>
                <w:color w:val="5B6471"/>
                <w:sz w:val="16"/>
              </w:rPr>
              <w:t xml:space="preserve">  representative, not cherry-picked</w:t>
            </w:r>
          </w:p>
        </w:tc>
        <w:tc>
          <w:tcPr>
            <w:tcW w:type="dxa" w:w="1882"/>
          </w:tcPr>
          <w:p>
            <w:r/>
            <w:r>
              <w:rPr>
                <w:sz w:val="18"/>
              </w:rPr>
              <w:t>Two people label each</w:t>
            </w:r>
            <w:r>
              <w:rPr>
                <w:i/>
                <w:color w:val="5B6471"/>
                <w:sz w:val="16"/>
              </w:rPr>
              <w:t xml:space="preserve">  independently</w:t>
            </w:r>
          </w:p>
        </w:tc>
        <w:tc>
          <w:tcPr>
            <w:tcW w:type="dxa" w:w="1882"/>
          </w:tcPr>
          <w:p>
            <w:r/>
            <w:r>
              <w:rPr>
                <w:sz w:val="18"/>
              </w:rPr>
              <w:t>Resolve disagreements</w:t>
            </w:r>
            <w:r>
              <w:rPr>
                <w:i/>
                <w:color w:val="5B6471"/>
                <w:sz w:val="16"/>
              </w:rPr>
              <w:t xml:space="preserve">  and record how many there were</w:t>
            </w:r>
          </w:p>
        </w:tc>
        <w:tc>
          <w:tcPr>
            <w:tcW w:type="dxa" w:w="1882"/>
          </w:tcPr>
          <w:p>
            <w:r/>
            <w:r>
              <w:rPr>
                <w:sz w:val="18"/>
              </w:rPr>
              <w:t>Reference set fixed</w:t>
            </w:r>
          </w:p>
        </w:tc>
      </w:tr>
      <w:tr>
        <w:tc>
          <w:tcPr>
            <w:tcW w:type="dxa" w:w="1882"/>
            <w:shd w:val="clear" w:color="auto" w:fill="F4F5F7"/>
          </w:tcPr>
          <w:p>
            <w:r/>
            <w:r>
              <w:rPr>
                <w:b/>
                <w:sz w:val="18"/>
              </w:rPr>
              <w:t>Measure the judge</w:t>
            </w:r>
          </w:p>
        </w:tc>
        <w:tc>
          <w:tcPr>
            <w:tcW w:type="dxa" w:w="1882"/>
          </w:tcPr>
          <w:p>
            <w:r/>
            <w:r>
              <w:rPr>
                <w:sz w:val="18"/>
              </w:rPr>
              <w:t>Judge the same 200</w:t>
            </w:r>
          </w:p>
        </w:tc>
        <w:tc>
          <w:tcPr>
            <w:tcW w:type="dxa" w:w="1882"/>
          </w:tcPr>
          <w:p>
            <w:r/>
            <w:r>
              <w:rPr>
                <w:sz w:val="18"/>
              </w:rPr>
              <w:t>Agreement with humans</w:t>
            </w:r>
            <w:r>
              <w:rPr>
                <w:i/>
                <w:color w:val="5B6471"/>
                <w:sz w:val="16"/>
              </w:rPr>
              <w:t xml:space="preserve">  this is the judge's accuracy</w:t>
            </w:r>
          </w:p>
        </w:tc>
        <w:tc>
          <w:tcPr>
            <w:tcW w:type="dxa" w:w="1882"/>
          </w:tcPr>
          <w:p>
            <w:r/>
            <w:r>
              <w:rPr>
                <w:sz w:val="18"/>
              </w:rPr>
              <w:t>Where it disagrees</w:t>
            </w:r>
            <w:r>
              <w:rPr>
                <w:i/>
                <w:color w:val="5B6471"/>
                <w:sz w:val="16"/>
              </w:rPr>
              <w:t xml:space="preserve">  systematic, or scattered?</w:t>
            </w:r>
          </w:p>
        </w:tc>
        <w:tc>
          <w:tcPr>
            <w:tcW w:type="dxa" w:w="1882"/>
          </w:tcPr>
          <w:p>
            <w:r/>
            <w:r>
              <w:rPr>
                <w:sz w:val="18"/>
              </w:rPr>
              <w:t>Quote it with every result</w:t>
            </w:r>
          </w:p>
        </w:tc>
      </w:tr>
      <w:tr>
        <w:tc>
          <w:tcPr>
            <w:tcW w:type="dxa" w:w="1882"/>
            <w:shd w:val="clear" w:color="auto" w:fill="F4F5F7"/>
          </w:tcPr>
          <w:p>
            <w:r/>
            <w:r>
              <w:rPr>
                <w:b/>
                <w:sz w:val="18"/>
              </w:rPr>
              <w:t>Guard against drift</w:t>
            </w:r>
          </w:p>
        </w:tc>
        <w:tc>
          <w:tcPr>
            <w:tcW w:type="dxa" w:w="1882"/>
          </w:tcPr>
          <w:p>
            <w:r/>
            <w:r>
              <w:rPr>
                <w:sz w:val="18"/>
              </w:rPr>
              <w:t>Pin the judge model</w:t>
            </w:r>
          </w:p>
        </w:tc>
        <w:tc>
          <w:tcPr>
            <w:tcW w:type="dxa" w:w="1882"/>
          </w:tcPr>
          <w:p>
            <w:r/>
            <w:r>
              <w:rPr>
                <w:sz w:val="18"/>
              </w:rPr>
              <w:t>Re-run the reference set monthly</w:t>
            </w:r>
            <w:r>
              <w:rPr>
                <w:i/>
                <w:color w:val="5B6471"/>
                <w:sz w:val="16"/>
              </w:rPr>
              <w:t xml:space="preserve">  agreement should not move</w:t>
            </w:r>
          </w:p>
        </w:tc>
        <w:tc>
          <w:tcPr>
            <w:tcW w:type="dxa" w:w="1882"/>
          </w:tcPr>
          <w:p>
            <w:r/>
            <w:r>
              <w:rPr>
                <w:sz w:val="18"/>
              </w:rPr>
              <w:t>Re-calibrate on any model change</w:t>
            </w:r>
          </w:p>
        </w:tc>
        <w:tc>
          <w:tcPr>
            <w:tcW w:type="dxa" w:w="1882"/>
          </w:tcPr>
          <w:p>
            <w:r/>
            <w:r>
              <w:rPr>
                <w:sz w:val="18"/>
              </w:rPr>
              <w:t>Keep the reference set unchanged</w:t>
            </w:r>
            <w:r>
              <w:rPr>
                <w:i/>
                <w:color w:val="5B6471"/>
                <w:sz w:val="16"/>
              </w:rPr>
              <w:t xml:space="preserve">  or you lose the comparison</w:t>
            </w:r>
          </w:p>
        </w:tc>
      </w:tr>
    </w:tbl>
    <w:p>
      <w:r>
        <w:rPr>
          <w:color w:val="5B6471"/>
          <w:sz w:val="17"/>
        </w:rPr>
        <w:t>Each row is a stage and reads left to right in order, unless that stage is a set rather than a sequence. This is the same structure the diagram on the page is drawn from, rendered as a table so it can be edited and read aloud.</w:t>
      </w:r>
    </w:p>
    <w:p/>
    <w:p>
      <w:r>
        <w:t>Using a model to judge another model's output is the only practical way to evaluate at scale. It is also an instrument with an unknown error rate until you measure it, and almost nobody measures it.</w:t>
      </w:r>
    </w:p>
    <w:p>
      <w:r>
        <w:t>The sequence below is the calibration. It costs one afternoon and it converts every number the judge produces afterwards from an assertion into a measurement with a stated confidence.</w:t>
      </w:r>
    </w:p>
    <w:p>
      <w:pPr>
        <w:pStyle w:val="Heading1"/>
      </w:pPr>
      <w:r>
        <w:t>The number that matters</w:t>
      </w:r>
    </w:p>
    <w:p>
      <w:r>
        <w:rPr>
          <w:b/>
        </w:rPr>
        <w:t>Agreement with human labels.</w:t>
      </w:r>
      <w:r>
        <w:t xml:space="preserve"> If the judge agrees 80% of the time, every figure it produces afterwards carries roughly that error, and a reported "94% groundedness" should be understood as 94% ± the judge's own uncertainty.</w:t>
      </w:r>
    </w:p>
    <w:p>
      <w:r>
        <w:t>That does not make the judge useless. It makes it an instrument with a known error bar, which is the difference between a measurement and a claim.</w:t>
      </w:r>
    </w:p>
    <w:p>
      <w:pPr>
        <w:pStyle w:val="Heading1"/>
      </w:pPr>
      <w:r>
        <w:t>Human disagreement is a finding, not a nuisance</w:t>
      </w:r>
    </w:p>
    <w:p>
      <w:r>
        <w:t xml:space="preserve">The step where two annotators disagree and resolve it is shaded as a warning for a reason: </w:t>
      </w:r>
      <w:r>
        <w:rPr>
          <w:b/>
        </w:rPr>
        <w:t>the rate of human disagreement is a ceiling on the judge.</w:t>
      </w:r>
    </w:p>
    <w:p>
      <w:r>
        <w:t>If two experienced people disagree on 15% of cases, no judge can be expected to exceed 85% agreement, and chasing that is wasted effort. It also tells you something more useful, that the criterion itself is ambiguous, and the fix is a clearer rubric rather than a better judge.</w:t>
      </w:r>
    </w:p>
    <w:p>
      <w:pPr>
        <w:pStyle w:val="Heading1"/>
      </w:pPr>
      <w:r>
        <w:t>Systematic versus scattered disagreement</w:t>
      </w:r>
    </w:p>
    <w:p>
      <w:r>
        <w:t>Scattered disagreement is noise and it is tolerable.</w:t>
      </w:r>
    </w:p>
    <w:p>
      <w:r>
        <w:t xml:space="preserve">Systematic disagreement is a bias you can correct. If the judge consistently marks long answers as better, or consistently accepts a claim that is plausible but unsupported, that is a fixable prompt problem, and it is invisible unless you look at </w:t>
      </w:r>
      <w:r>
        <w:rPr>
          <w:i/>
        </w:rPr>
        <w:t>where</w:t>
      </w:r>
      <w:r>
        <w:t xml:space="preserve"> the disagreements fall rather than just counting them.</w:t>
      </w:r>
    </w:p>
    <w:p>
      <w:pPr>
        <w:pStyle w:val="Heading1"/>
      </w:pPr>
      <w:r>
        <w:t>Why the last lane has no arrows</w:t>
      </w:r>
    </w:p>
    <w:p>
      <w:r>
        <w:t xml:space="preserve">Those four are standing practices, not a sequence. The critical pairing is </w:t>
      </w:r>
      <w:r>
        <w:rPr>
          <w:b/>
        </w:rPr>
        <w:t>pin the judge model</w:t>
      </w:r>
      <w:r>
        <w:t xml:space="preserve"> and </w:t>
      </w:r>
      <w:r>
        <w:rPr>
          <w:b/>
        </w:rPr>
        <w:t>keep the reference set unchanged</w:t>
      </w:r>
      <w:r>
        <w:t>: if either moves, your historical comparisons quietly stop meaning anything, and the trend line you have been tracking for six months becomes fiction.</w:t>
      </w:r>
    </w:p>
    <w:p>
      <w:pPr>
        <w:pStyle w:val="Heading1"/>
      </w:pPr>
      <w:r>
        <w:t>The narrower the question, the better the judge</w:t>
      </w:r>
    </w:p>
    <w:p>
      <w:r>
        <w:t>Calibration is easier and agreement higher when the judge is asked something specific, "does this answer contain a claim not supported by the supplied passages?", rather than "is this a good answer?"</w:t>
      </w:r>
    </w:p>
    <w:p>
      <w:r>
        <w:t>If agreement comes out low, the first thing to try is a narrower question, not a larger model.</w:t>
      </w:r>
    </w:p>
    <w:p>
      <w:r>
        <w:t xml:space="preserve">See </w:t>
      </w:r>
      <w:r>
        <w:rPr>
          <w:color w:val="7C3AED"/>
          <w:u w:val="single"/>
        </w:rPr>
        <w:t>model evaluation</w:t>
      </w:r>
      <w:r>
        <w:rPr>
          <w:sz w:val="17"/>
        </w:rPr>
        <w:t xml:space="preserve"> (bvlogic.com/ai-testing/model-evaluation/)</w:t>
      </w:r>
      <w:r>
        <w:t xml:space="preserve"> for the full method, </w:t>
      </w:r>
      <w:r>
        <w:rPr>
          <w:color w:val="7C3AED"/>
          <w:u w:val="single"/>
        </w:rPr>
        <w:t>groundedness</w:t>
      </w:r>
      <w:r>
        <w:rPr>
          <w:sz w:val="17"/>
        </w:rPr>
        <w:t xml:space="preserve"> (bvlogic.com/ai-testing/hallucination-testing/diagram/)</w:t>
      </w:r>
      <w:r>
        <w:t xml:space="preserve"> for what a judge is typically asked to check, and </w:t>
      </w:r>
      <w:r>
        <w:rPr>
          <w:color w:val="7C3AED"/>
          <w:u w:val="single"/>
        </w:rPr>
        <w:t>AI Testing</w:t>
      </w:r>
      <w:r>
        <w:rPr>
          <w:sz w:val="17"/>
        </w:rPr>
        <w:t xml:space="preserve"> (bvlogic.com/labs/ai-testing/)</w:t>
      </w:r>
      <w:r>
        <w:t xml:space="preserve"> for why we publish this rather than sell a tool.</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Calibrating a Model Judge: Diagram</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Calibrating a Model Judge: Diagram</dc:title>
  <dc:subject/>
  <dc:creator>BvLogic</dc:creator>
  <cp:keywords>BvLogic, Diagram, Calibrating a Model Judge: Diagram</cp:keywords>
  <dc:description>How to establish what a judge's verdicts are worth before relying on them, the human-labelled set, the agreement measurement, and the drift check that catches the judge changing underneath you.</dc:description>
  <cp:lastModifiedBy/>
  <cp:revision>1</cp:revision>
  <dcterms:created xsi:type="dcterms:W3CDTF">2013-12-23T23:15:00Z</dcterms:created>
  <dcterms:modified xsi:type="dcterms:W3CDTF">2013-12-23T23:15:00Z</dcterms:modified>
  <cp:category>Diagram</cp:category>
  <dc:language>en-GB</dc:language>
</cp:coreProperties>
</file>