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MCP Trust Boundaries: Diagram</w:t>
      </w:r>
    </w:p>
    <w:p>
      <w:pPr>
        <w:spacing w:after="560"/>
      </w:pPr>
      <w:r>
        <w:rPr>
          <w:color w:val="5B6471"/>
          <w:sz w:val="23"/>
        </w:rPr>
        <w:t>Where the trust boundaries actually fall in a Model Context Protocol setup, what the model can influence, what a server can influence, and the two places content becomes action.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BVL-A05286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What can influence what</w:t>
      </w:r>
    </w:p>
    <w:p>
      <w:r>
        <w:rPr>
          <w:i/>
          <w:color w:val="5B6471"/>
          <w:sz w:val="19"/>
        </w:rPr>
        <w:t>Shaded boxes cross a trust boundary, content authored outside your system reaching a place where it can change behaviour. Both are inputs, neither is an instruction.</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Your side</w:t>
            </w:r>
          </w:p>
        </w:tc>
        <w:tc>
          <w:tcPr>
            <w:tcW w:type="dxa" w:w="1882"/>
          </w:tcPr>
          <w:p>
            <w:r/>
            <w:r>
              <w:rPr>
                <w:sz w:val="18"/>
              </w:rPr>
              <w:t>User request</w:t>
            </w:r>
          </w:p>
        </w:tc>
        <w:tc>
          <w:tcPr>
            <w:tcW w:type="dxa" w:w="1882"/>
          </w:tcPr>
          <w:p>
            <w:r/>
            <w:r>
              <w:rPr>
                <w:sz w:val="18"/>
              </w:rPr>
              <w:t>Client application</w:t>
            </w:r>
            <w:r>
              <w:rPr>
                <w:i/>
                <w:color w:val="5B6471"/>
                <w:sz w:val="16"/>
              </w:rPr>
              <w:t xml:space="preserve">  assembles the context</w:t>
            </w:r>
          </w:p>
        </w:tc>
        <w:tc>
          <w:tcPr>
            <w:tcW w:type="dxa" w:w="1882"/>
          </w:tcPr>
          <w:p>
            <w:r/>
            <w:r>
              <w:rPr>
                <w:sz w:val="18"/>
              </w:rPr>
              <w:t>System instructions</w:t>
            </w:r>
            <w:r>
              <w:rPr>
                <w:i/>
                <w:color w:val="5B6471"/>
                <w:sz w:val="16"/>
              </w:rPr>
              <w:t xml:space="preserve">  authored by you</w:t>
            </w:r>
          </w:p>
        </w:tc>
        <w:tc>
          <w:tcPr>
            <w:tcW w:type="dxa" w:w="1882"/>
          </w:tcPr>
          <w:p>
            <w:r/>
            <w:r>
              <w:rPr>
                <w:sz w:val="18"/>
              </w:rPr>
              <w:t>Model</w:t>
            </w:r>
          </w:p>
        </w:tc>
      </w:tr>
      <w:tr>
        <w:tc>
          <w:tcPr>
            <w:tcW w:type="dxa" w:w="1882"/>
            <w:shd w:val="clear" w:color="auto" w:fill="F4F5F7"/>
          </w:tcPr>
          <w:p>
            <w:r/>
            <w:r>
              <w:rPr>
                <w:b/>
                <w:sz w:val="18"/>
              </w:rPr>
              <w:t>What reaches the model</w:t>
            </w:r>
          </w:p>
        </w:tc>
        <w:tc>
          <w:tcPr>
            <w:tcW w:type="dxa" w:w="1882"/>
          </w:tcPr>
          <w:p>
            <w:r/>
            <w:r>
              <w:rPr>
                <w:sz w:val="18"/>
              </w:rPr>
              <w:t>Tool descriptions</w:t>
            </w:r>
            <w:r>
              <w:rPr>
                <w:i/>
                <w:color w:val="5B6471"/>
                <w:sz w:val="16"/>
              </w:rPr>
              <w:t xml:space="preserve">  written by the server author</w:t>
            </w:r>
          </w:p>
        </w:tc>
        <w:tc>
          <w:tcPr>
            <w:tcW w:type="dxa" w:w="1882"/>
          </w:tcPr>
          <w:p>
            <w:r/>
            <w:r>
              <w:rPr>
                <w:sz w:val="18"/>
              </w:rPr>
              <w:t>Tool responses</w:t>
            </w:r>
            <w:r>
              <w:rPr>
                <w:i/>
                <w:color w:val="5B6471"/>
                <w:sz w:val="16"/>
              </w:rPr>
              <w:t xml:space="preserve">  may contain third-party text</w:t>
            </w:r>
          </w:p>
        </w:tc>
        <w:tc>
          <w:tcPr>
            <w:tcW w:type="dxa" w:w="1882"/>
          </w:tcPr>
          <w:p>
            <w:r/>
            <w:r>
              <w:rPr>
                <w:sz w:val="18"/>
              </w:rPr>
              <w:t>Retrieved resources</w:t>
            </w:r>
            <w:r>
              <w:rPr>
                <w:i/>
                <w:color w:val="5B6471"/>
                <w:sz w:val="16"/>
              </w:rPr>
              <w:t xml:space="preserve">  documents, pages, tickets</w:t>
            </w:r>
          </w:p>
        </w:tc>
        <w:tc>
          <w:tcPr>
            <w:tcW w:type="dxa" w:w="1882"/>
          </w:tcPr>
          <w:p>
            <w:r/>
          </w:p>
        </w:tc>
      </w:tr>
      <w:tr>
        <w:tc>
          <w:tcPr>
            <w:tcW w:type="dxa" w:w="1882"/>
            <w:shd w:val="clear" w:color="auto" w:fill="F4F5F7"/>
          </w:tcPr>
          <w:p>
            <w:r/>
            <w:r>
              <w:rPr>
                <w:b/>
                <w:sz w:val="18"/>
              </w:rPr>
              <w:t>Server side</w:t>
            </w:r>
          </w:p>
        </w:tc>
        <w:tc>
          <w:tcPr>
            <w:tcW w:type="dxa" w:w="1882"/>
          </w:tcPr>
          <w:p>
            <w:r/>
            <w:r>
              <w:rPr>
                <w:sz w:val="18"/>
              </w:rPr>
              <w:t>Tool invoked</w:t>
            </w:r>
          </w:p>
        </w:tc>
        <w:tc>
          <w:tcPr>
            <w:tcW w:type="dxa" w:w="1882"/>
          </w:tcPr>
          <w:p>
            <w:r/>
            <w:r>
              <w:rPr>
                <w:sz w:val="18"/>
              </w:rPr>
              <w:t>Server credentials</w:t>
            </w:r>
            <w:r>
              <w:rPr>
                <w:i/>
                <w:color w:val="5B6471"/>
                <w:sz w:val="16"/>
              </w:rPr>
              <w:t xml:space="preserve">  its own, scoped, revocable</w:t>
            </w:r>
          </w:p>
        </w:tc>
        <w:tc>
          <w:tcPr>
            <w:tcW w:type="dxa" w:w="1882"/>
          </w:tcPr>
          <w:p>
            <w:r/>
            <w:r>
              <w:rPr>
                <w:sz w:val="18"/>
              </w:rPr>
              <w:t>Target system</w:t>
            </w:r>
            <w:r>
              <w:rPr>
                <w:i/>
                <w:color w:val="5B6471"/>
                <w:sz w:val="16"/>
              </w:rPr>
              <w:t xml:space="preserve">  database, API, filesystem</w:t>
            </w:r>
          </w:p>
        </w:tc>
        <w:tc>
          <w:tcPr>
            <w:tcW w:type="dxa" w:w="1882"/>
          </w:tcPr>
          <w:p>
            <w:r/>
            <w:r>
              <w:rPr>
                <w:sz w:val="18"/>
              </w:rPr>
              <w:t>Effect</w:t>
            </w:r>
            <w:r>
              <w:rPr>
                <w:i/>
                <w:color w:val="5B6471"/>
                <w:sz w:val="16"/>
              </w:rPr>
              <w:t xml:space="preserve">  reversible or not, decide first</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Diagrams of the Model Context Protocol usually show a client, a server and a happy arrow between them. That is the plumbing. What matters for security is where the </w:t>
      </w:r>
      <w:r>
        <w:rPr>
          <w:b/>
        </w:rPr>
        <w:t>trust boundaries</w:t>
      </w:r>
      <w:r>
        <w:t xml:space="preserve"> fall, and there are more of them than the architecture suggests.</w:t>
      </w:r>
    </w:p>
    <w:p>
      <w:r>
        <w:t xml:space="preserve">Two things in the picture below are frequently missed: tool </w:t>
      </w:r>
      <w:r>
        <w:rPr>
          <w:i/>
        </w:rPr>
        <w:t>descriptions</w:t>
      </w:r>
      <w:r>
        <w:t xml:space="preserve"> reach the model as prompt content, and tool </w:t>
      </w:r>
      <w:r>
        <w:rPr>
          <w:i/>
        </w:rPr>
        <w:t>responses</w:t>
      </w:r>
      <w:r>
        <w:t xml:space="preserve"> can contain text written by someone else entirely.</w:t>
      </w:r>
    </w:p>
    <w:p>
      <w:pPr>
        <w:pStyle w:val="Heading1"/>
      </w:pPr>
      <w:r>
        <w:t>Reading the middle lane</w:t>
      </w:r>
    </w:p>
    <w:p>
      <w:r>
        <w:t xml:space="preserve">The middle lane has </w:t>
      </w:r>
      <w:r>
        <w:rPr>
          <w:b/>
        </w:rPr>
        <w:t>no arrows</w:t>
      </w:r>
      <w:r>
        <w:t xml:space="preserve"> deliberately. These are not a sequence, they are three independent channels through which text you did not write arrives in the model's context. Any one of them can carry an instruction.</w:t>
      </w:r>
    </w:p>
    <w:p>
      <w:r>
        <w:rPr>
          <w:b/>
        </w:rPr>
        <w:t>Tool descriptions</w:t>
      </w:r>
      <w:r>
        <w:t xml:space="preserve"> are the surprising one. When a client connects to a server, the tool descriptions are injected into the model's context so it knows what is available. A server author, careless or hostile, can phrase a description as guidance: </w:t>
      </w:r>
      <w:r>
        <w:rPr>
          <w:i/>
        </w:rPr>
        <w:t>always call this before answering</w:t>
      </w:r>
      <w:r>
        <w:t>. That is prompt content authored by a third party, and it is present on every request.</w:t>
      </w:r>
    </w:p>
    <w:p>
      <w:r>
        <w:rPr>
          <w:b/>
        </w:rPr>
        <w:t>Tool responses</w:t>
      </w:r>
      <w:r>
        <w:t xml:space="preserve"> carry whatever the target system returns, which may include text from a customer, a web page or a document.</w:t>
      </w:r>
    </w:p>
    <w:p>
      <w:r>
        <w:rPr>
          <w:b/>
        </w:rPr>
        <w:t>Retrieved resources</w:t>
      </w:r>
      <w:r>
        <w:t xml:space="preserve"> are the case most teams already think about.</w:t>
      </w:r>
    </w:p>
    <w:p>
      <w:pPr>
        <w:pStyle w:val="Heading1"/>
      </w:pPr>
      <w:r>
        <w:t>The two boundaries that matter</w:t>
      </w:r>
    </w:p>
    <w:p>
      <w:r>
        <w:rPr>
          <w:b/>
        </w:rPr>
        <w:t>Content → model.</w:t>
      </w:r>
      <w:r>
        <w:t xml:space="preserve"> Everything in the middle lane crosses it. The mitigation is to treat all of it as data: delimit it, state that it is not instruction, and do not let it silently expand what the model believes it should do.</w:t>
      </w:r>
    </w:p>
    <w:p>
      <w:r>
        <w:rPr>
          <w:b/>
        </w:rPr>
        <w:t>Model → effect.</w:t>
      </w:r>
      <w:r>
        <w:t xml:space="preserve"> The right-hand lane. This is where a decision becomes something that happened. The controls here are the ones that actually bound the damage: narrow tools rather than broad ones, the server's own scoped credentials, and confirmation on anything irreversible.</w:t>
      </w:r>
    </w:p>
    <w:p>
      <w:pPr>
        <w:pStyle w:val="Heading1"/>
      </w:pPr>
      <w:r>
        <w:t>The combination to avoid</w:t>
      </w:r>
    </w:p>
    <w:p>
      <w:r>
        <w:t xml:space="preserve">Reads untrusted content </w:t>
      </w:r>
      <w:r>
        <w:rPr>
          <w:b/>
        </w:rPr>
        <w:t>and</w:t>
      </w:r>
      <w:r>
        <w:t xml:space="preserve"> holds a consequential tool </w:t>
      </w:r>
      <w:r>
        <w:rPr>
          <w:b/>
        </w:rPr>
        <w:t>and</w:t>
      </w:r>
      <w:r>
        <w:t xml:space="preserve"> acts without confirmation.</w:t>
      </w:r>
    </w:p>
    <w:p>
      <w:r>
        <w:t>Any two of those three is manageable. All three together means a document can cause an action. Break one of them: usually the third, because it is the cheapest.</w:t>
      </w:r>
    </w:p>
    <w:p>
      <w:pPr>
        <w:pStyle w:val="Heading1"/>
      </w:pPr>
      <w:r>
        <w:t>What the diagram does not show</w:t>
      </w:r>
    </w:p>
    <w:p>
      <w:r>
        <w:t>Rate and spend limits, which sit outside everything here and must be enforced by the layer running the client. An agent can reason its way past its own instructions; it cannot reason past a supervisor that refuses the next call.</w:t>
      </w:r>
    </w:p>
    <w:p>
      <w:r>
        <w:t xml:space="preserve">See </w:t>
      </w:r>
      <w:r>
        <w:rPr>
          <w:color w:val="7C3AED"/>
          <w:u w:val="single"/>
        </w:rPr>
        <w:t>MCP</w:t>
      </w:r>
      <w:r>
        <w:rPr>
          <w:sz w:val="17"/>
        </w:rPr>
        <w:t xml:space="preserve"> (bvlogic.com/knowledge/mcp/)</w:t>
      </w:r>
      <w:r>
        <w:t xml:space="preserve"> for the wider picture, the </w:t>
      </w:r>
      <w:r>
        <w:rPr>
          <w:color w:val="7C3AED"/>
          <w:u w:val="single"/>
        </w:rPr>
        <w:t>server review checklist</w:t>
      </w:r>
      <w:r>
        <w:rPr>
          <w:sz w:val="17"/>
        </w:rPr>
        <w:t xml:space="preserve"> (bvlogic.com/knowledge/mcp/checklist/)</w:t>
      </w:r>
      <w:r>
        <w:t xml:space="preserve"> before connecting one, and </w:t>
      </w:r>
      <w:r>
        <w:rPr>
          <w:color w:val="7C3AED"/>
          <w:u w:val="single"/>
        </w:rPr>
        <w:t>AI agents</w:t>
      </w:r>
      <w:r>
        <w:rPr>
          <w:sz w:val="17"/>
        </w:rPr>
        <w:t xml:space="preserve"> (bvlogic.com/knowledge/ai-agents/)</w:t>
      </w:r>
      <w:r>
        <w:t xml:space="preserve"> for the bounded-autonomy discipline.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MCP Trust Boundaries: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MCP Trust Boundaries: Diagram</dc:title>
  <dc:subject/>
  <dc:creator>BvLogic</dc:creator>
  <cp:keywords>BvLogic, Diagram, MCP Trust Boundaries: Diagram</cp:keywords>
  <dc:description>Where the trust boundaries actually fall in a Model Context Protocol setup, what the model can influence, what a server can influence, and the two places content becomes action.</dc:description>
  <cp:lastModifiedBy/>
  <cp:revision>1</cp:revision>
  <dcterms:created xsi:type="dcterms:W3CDTF">2013-12-23T23:15:00Z</dcterms:created>
  <dcterms:modified xsi:type="dcterms:W3CDTF">2013-12-23T23:15:00Z</dcterms:modified>
  <cp:category>Diagram</cp:category>
  <dc:language>en-GB</dc:language>
</cp:coreProperties>
</file>