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Marketing: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BVL-0D98BC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1. Content brief</w:t>
      </w:r>
    </w:p>
    <w:p>
      <w:r>
        <w:t>Nothing is drafted without one.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Working title</w:t>
            </w:r>
          </w:p>
        </w:tc>
        <w:tc>
          <w:tcPr>
            <w:tcW w:type="dxa" w:w="4706"/>
          </w:tcPr>
          <w:p>
            <w:pPr>
              <w:spacing w:after="40"/>
            </w:pPr>
            <w:r>
              <w:rPr>
                <w:sz w:val="18"/>
              </w:rPr>
            </w:r>
          </w:p>
        </w:tc>
      </w:tr>
      <w:tr>
        <w:tc>
          <w:tcPr>
            <w:tcW w:type="dxa" w:w="4706"/>
          </w:tcPr>
          <w:p>
            <w:pPr>
              <w:spacing w:after="40"/>
            </w:pPr>
            <w:r>
              <w:rPr>
                <w:sz w:val="18"/>
              </w:rPr>
            </w:r>
            <w:r>
              <w:rPr>
                <w:b/>
                <w:sz w:val="18"/>
              </w:rPr>
              <w:t>Who is this for</w:t>
            </w:r>
          </w:p>
        </w:tc>
        <w:tc>
          <w:tcPr>
            <w:tcW w:type="dxa" w:w="4706"/>
          </w:tcPr>
          <w:p>
            <w:pPr>
              <w:spacing w:after="40"/>
            </w:pPr>
            <w:r>
              <w:rPr>
                <w:sz w:val="18"/>
              </w:rPr>
            </w:r>
            <w:r>
              <w:rPr>
                <w:sz w:val="18"/>
              </w:rPr>
              <w:t>[A specific role with a specific problem. "Anyone interested in AI" is not an audience]</w:t>
            </w:r>
          </w:p>
        </w:tc>
      </w:tr>
      <w:tr>
        <w:tc>
          <w:tcPr>
            <w:tcW w:type="dxa" w:w="4706"/>
          </w:tcPr>
          <w:p>
            <w:pPr>
              <w:spacing w:after="40"/>
            </w:pPr>
            <w:r>
              <w:rPr>
                <w:sz w:val="18"/>
              </w:rPr>
            </w:r>
            <w:r>
              <w:rPr>
                <w:b/>
                <w:sz w:val="18"/>
              </w:rPr>
              <w:t>What they can do afterwards</w:t>
            </w:r>
          </w:p>
        </w:tc>
        <w:tc>
          <w:tcPr>
            <w:tcW w:type="dxa" w:w="4706"/>
          </w:tcPr>
          <w:p>
            <w:pPr>
              <w:spacing w:after="40"/>
            </w:pPr>
            <w:r>
              <w:rPr>
                <w:sz w:val="18"/>
              </w:rPr>
            </w:r>
            <w:r>
              <w:rPr>
                <w:sz w:val="18"/>
              </w:rPr>
              <w:t>[A capability, not a feeling. "Understand AI" is not an outcome]</w:t>
            </w:r>
          </w:p>
        </w:tc>
      </w:tr>
      <w:tr>
        <w:tc>
          <w:tcPr>
            <w:tcW w:type="dxa" w:w="4706"/>
          </w:tcPr>
          <w:p>
            <w:pPr>
              <w:spacing w:after="40"/>
            </w:pPr>
            <w:r>
              <w:rPr>
                <w:sz w:val="18"/>
              </w:rPr>
            </w:r>
            <w:r>
              <w:rPr>
                <w:b/>
                <w:sz w:val="18"/>
              </w:rPr>
              <w:t>What we know that they cannot get elsewhere</w:t>
            </w:r>
          </w:p>
        </w:tc>
        <w:tc>
          <w:tcPr>
            <w:tcW w:type="dxa" w:w="4706"/>
          </w:tcPr>
          <w:p>
            <w:pPr>
              <w:spacing w:after="40"/>
            </w:pPr>
            <w:r>
              <w:rPr>
                <w:sz w:val="18"/>
              </w:rPr>
            </w:r>
            <w:r>
              <w:rPr>
                <w:sz w:val="18"/>
              </w:rPr>
              <w:t>[If this is blank, stop. No article]</w:t>
            </w:r>
          </w:p>
        </w:tc>
      </w:tr>
      <w:tr>
        <w:tc>
          <w:tcPr>
            <w:tcW w:type="dxa" w:w="4706"/>
          </w:tcPr>
          <w:p>
            <w:pPr>
              <w:spacing w:after="40"/>
            </w:pPr>
            <w:r>
              <w:rPr>
                <w:sz w:val="18"/>
              </w:rPr>
            </w:r>
            <w:r>
              <w:rPr>
                <w:sz w:val="18"/>
              </w:rPr>
              <w:t>Evidence</w:t>
            </w:r>
          </w:p>
        </w:tc>
        <w:tc>
          <w:tcPr>
            <w:tcW w:type="dxa" w:w="4706"/>
          </w:tcPr>
          <w:p>
            <w:pPr>
              <w:spacing w:after="40"/>
            </w:pPr>
            <w:r>
              <w:rPr>
                <w:sz w:val="18"/>
              </w:rPr>
            </w:r>
            <w:r>
              <w:rPr>
                <w:sz w:val="18"/>
              </w:rPr>
              <w:t>[Our measurement, our delivery experience, or a citable source]</w:t>
            </w:r>
          </w:p>
        </w:tc>
      </w:tr>
      <w:tr>
        <w:tc>
          <w:tcPr>
            <w:tcW w:type="dxa" w:w="4706"/>
          </w:tcPr>
          <w:p>
            <w:pPr>
              <w:spacing w:after="40"/>
            </w:pPr>
            <w:r>
              <w:rPr>
                <w:sz w:val="18"/>
              </w:rPr>
            </w:r>
            <w:r>
              <w:rPr>
                <w:sz w:val="18"/>
              </w:rPr>
              <w:t>Search demand</w:t>
            </w:r>
          </w:p>
        </w:tc>
        <w:tc>
          <w:tcPr>
            <w:tcW w:type="dxa" w:w="4706"/>
          </w:tcPr>
          <w:p>
            <w:pPr>
              <w:spacing w:after="40"/>
            </w:pPr>
            <w:r>
              <w:rPr>
                <w:sz w:val="18"/>
              </w:rPr>
            </w:r>
            <w:r>
              <w:rPr>
                <w:sz w:val="18"/>
              </w:rPr>
              <w:t>[Term, volume, difficulty. Or "none, published for a different reason", stated honestly]</w:t>
            </w:r>
          </w:p>
        </w:tc>
      </w:tr>
      <w:tr>
        <w:tc>
          <w:tcPr>
            <w:tcW w:type="dxa" w:w="4706"/>
          </w:tcPr>
          <w:p>
            <w:pPr>
              <w:spacing w:after="40"/>
            </w:pPr>
            <w:r>
              <w:rPr>
                <w:sz w:val="18"/>
              </w:rPr>
            </w:r>
            <w:r>
              <w:rPr>
                <w:sz w:val="18"/>
              </w:rPr>
              <w:t>Existing page this overlaps</w:t>
            </w:r>
          </w:p>
        </w:tc>
        <w:tc>
          <w:tcPr>
            <w:tcW w:type="dxa" w:w="4706"/>
          </w:tcPr>
          <w:p>
            <w:pPr>
              <w:spacing w:after="40"/>
            </w:pPr>
            <w:r>
              <w:rPr>
                <w:sz w:val="18"/>
              </w:rPr>
            </w:r>
            <w:r>
              <w:rPr>
                <w:sz w:val="18"/>
              </w:rPr>
              <w:t>[If one exists, the default is to improve that page instead]</w:t>
            </w:r>
          </w:p>
        </w:tc>
      </w:tr>
      <w:tr>
        <w:tc>
          <w:tcPr>
            <w:tcW w:type="dxa" w:w="4706"/>
          </w:tcPr>
          <w:p>
            <w:pPr>
              <w:spacing w:after="40"/>
            </w:pPr>
            <w:r>
              <w:rPr>
                <w:sz w:val="18"/>
              </w:rPr>
            </w:r>
            <w:r>
              <w:rPr>
                <w:sz w:val="18"/>
              </w:rPr>
              <w:t>Owner</w:t>
            </w:r>
          </w:p>
        </w:tc>
        <w:tc>
          <w:tcPr>
            <w:tcW w:type="dxa" w:w="4706"/>
          </w:tcPr>
          <w:p>
            <w:pPr>
              <w:spacing w:after="40"/>
            </w:pPr>
            <w:r>
              <w:rPr>
                <w:sz w:val="18"/>
              </w:rPr>
            </w:r>
          </w:p>
        </w:tc>
      </w:tr>
      <w:tr>
        <w:tc>
          <w:tcPr>
            <w:tcW w:type="dxa" w:w="4706"/>
          </w:tcPr>
          <w:p>
            <w:pPr>
              <w:spacing w:after="40"/>
            </w:pPr>
            <w:r>
              <w:rPr>
                <w:sz w:val="18"/>
              </w:rPr>
            </w:r>
            <w:r>
              <w:rPr>
                <w:sz w:val="18"/>
              </w:rPr>
              <w:t>Review date</w:t>
            </w:r>
          </w:p>
        </w:tc>
        <w:tc>
          <w:tcPr>
            <w:tcW w:type="dxa" w:w="4706"/>
          </w:tcPr>
          <w:p>
            <w:pPr>
              <w:spacing w:after="40"/>
            </w:pPr>
            <w:r>
              <w:rPr>
                <w:sz w:val="18"/>
              </w:rPr>
            </w:r>
            <w:r>
              <w:rPr>
                <w:sz w:val="18"/>
              </w:rPr>
              <w:t>[Every piece gets one. Undated content becomes wrong content]</w:t>
            </w:r>
          </w:p>
        </w:tc>
      </w:tr>
    </w:tbl>
    <w:p>
      <w:pPr>
        <w:spacing w:after="40"/>
      </w:pPr>
    </w:p>
    <w:p>
      <w:r>
        <w:rPr>
          <w:b/>
        </w:rPr>
        <w:t>The third row kills most ideas.</w:t>
      </w:r>
      <w:r>
        <w:t xml:space="preserve"> That is its job. Cheap production means the constraint has moved from writing to deciding what deserves to exist.</w:t>
      </w:r>
    </w:p>
    <w:p>
      <w:pPr>
        <w:pStyle w:val="Heading1"/>
      </w:pPr>
      <w:r>
        <w:t>2. Editorial checklist</w:t>
      </w:r>
    </w:p>
    <w:p>
      <w:r>
        <w:t>Completed by a person before publishing.</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Check</w:t>
            </w:r>
          </w:p>
        </w:tc>
        <w:tc>
          <w:tcPr>
            <w:tcW w:type="dxa" w:w="4706"/>
            <w:shd w:val="clear" w:color="auto" w:fill="F1EAFE"/>
          </w:tcPr>
          <w:p>
            <w:pPr>
              <w:spacing w:after="40"/>
            </w:pPr>
            <w:r>
              <w:rPr>
                <w:b/>
                <w:sz w:val="18"/>
              </w:rPr>
            </w:r>
            <w:r>
              <w:rPr>
                <w:b/>
                <w:sz w:val="18"/>
              </w:rPr>
              <w:t>Pass</w:t>
            </w:r>
          </w:p>
        </w:tc>
      </w:tr>
      <w:tr>
        <w:tc>
          <w:tcPr>
            <w:tcW w:type="dxa" w:w="4706"/>
          </w:tcPr>
          <w:p>
            <w:pPr>
              <w:spacing w:after="40"/>
            </w:pPr>
            <w:r>
              <w:rPr>
                <w:sz w:val="18"/>
              </w:rPr>
            </w:r>
            <w:r>
              <w:rPr>
                <w:sz w:val="18"/>
              </w:rPr>
              <w:t>A reader who knows the basics learns something</w:t>
            </w:r>
          </w:p>
        </w:tc>
        <w:tc>
          <w:tcPr>
            <w:tcW w:type="dxa" w:w="4706"/>
          </w:tcPr>
          <w:p>
            <w:pPr>
              <w:spacing w:after="40"/>
            </w:pPr>
            <w:r>
              <w:rPr>
                <w:sz w:val="18"/>
              </w:rPr>
            </w:r>
            <w:r>
              <w:rPr>
                <w:sz w:val="18"/>
              </w:rPr>
              <w:t>⬜</w:t>
            </w:r>
          </w:p>
        </w:tc>
      </w:tr>
      <w:tr>
        <w:tc>
          <w:tcPr>
            <w:tcW w:type="dxa" w:w="4706"/>
          </w:tcPr>
          <w:p>
            <w:pPr>
              <w:spacing w:after="40"/>
            </w:pPr>
            <w:r>
              <w:rPr>
                <w:sz w:val="18"/>
              </w:rPr>
            </w:r>
            <w:r>
              <w:rPr>
                <w:sz w:val="18"/>
              </w:rPr>
              <w:t>Every number has a source or is our own measurement</w:t>
            </w:r>
          </w:p>
        </w:tc>
        <w:tc>
          <w:tcPr>
            <w:tcW w:type="dxa" w:w="4706"/>
          </w:tcPr>
          <w:p>
            <w:pPr>
              <w:spacing w:after="40"/>
            </w:pPr>
            <w:r>
              <w:rPr>
                <w:sz w:val="18"/>
              </w:rPr>
            </w:r>
            <w:r>
              <w:rPr>
                <w:sz w:val="18"/>
              </w:rPr>
              <w:t>⬜</w:t>
            </w:r>
          </w:p>
        </w:tc>
      </w:tr>
      <w:tr>
        <w:tc>
          <w:tcPr>
            <w:tcW w:type="dxa" w:w="4706"/>
          </w:tcPr>
          <w:p>
            <w:pPr>
              <w:spacing w:after="40"/>
            </w:pPr>
            <w:r>
              <w:rPr>
                <w:sz w:val="18"/>
              </w:rPr>
            </w:r>
            <w:r>
              <w:rPr>
                <w:sz w:val="18"/>
              </w:rPr>
              <w:t>No claim about a customer, capability or result we cannot evidence</w:t>
            </w:r>
          </w:p>
        </w:tc>
        <w:tc>
          <w:tcPr>
            <w:tcW w:type="dxa" w:w="4706"/>
          </w:tcPr>
          <w:p>
            <w:pPr>
              <w:spacing w:after="40"/>
            </w:pPr>
            <w:r>
              <w:rPr>
                <w:sz w:val="18"/>
              </w:rPr>
            </w:r>
            <w:r>
              <w:rPr>
                <w:sz w:val="18"/>
              </w:rPr>
              <w:t>⬜</w:t>
            </w:r>
          </w:p>
        </w:tc>
      </w:tr>
      <w:tr>
        <w:tc>
          <w:tcPr>
            <w:tcW w:type="dxa" w:w="4706"/>
          </w:tcPr>
          <w:p>
            <w:pPr>
              <w:spacing w:after="40"/>
            </w:pPr>
            <w:r>
              <w:rPr>
                <w:sz w:val="18"/>
              </w:rPr>
            </w:r>
            <w:r>
              <w:rPr>
                <w:sz w:val="18"/>
              </w:rPr>
              <w:t>No competitor named</w:t>
            </w:r>
          </w:p>
        </w:tc>
        <w:tc>
          <w:tcPr>
            <w:tcW w:type="dxa" w:w="4706"/>
          </w:tcPr>
          <w:p>
            <w:pPr>
              <w:spacing w:after="40"/>
            </w:pPr>
            <w:r>
              <w:rPr>
                <w:sz w:val="18"/>
              </w:rPr>
            </w:r>
            <w:r>
              <w:rPr>
                <w:sz w:val="18"/>
              </w:rPr>
              <w:t>⬜</w:t>
            </w:r>
          </w:p>
        </w:tc>
      </w:tr>
      <w:tr>
        <w:tc>
          <w:tcPr>
            <w:tcW w:type="dxa" w:w="4706"/>
          </w:tcPr>
          <w:p>
            <w:pPr>
              <w:spacing w:after="40"/>
            </w:pPr>
            <w:r>
              <w:rPr>
                <w:sz w:val="18"/>
              </w:rPr>
            </w:r>
            <w:r>
              <w:rPr>
                <w:sz w:val="18"/>
              </w:rPr>
              <w:t>Reads as written by a person. No em dashes, no emoji, no marketing filler</w:t>
            </w:r>
          </w:p>
        </w:tc>
        <w:tc>
          <w:tcPr>
            <w:tcW w:type="dxa" w:w="4706"/>
          </w:tcPr>
          <w:p>
            <w:pPr>
              <w:spacing w:after="40"/>
            </w:pPr>
            <w:r>
              <w:rPr>
                <w:sz w:val="18"/>
              </w:rPr>
            </w:r>
            <w:r>
              <w:rPr>
                <w:sz w:val="18"/>
              </w:rPr>
              <w:t>⬜</w:t>
            </w:r>
          </w:p>
        </w:tc>
      </w:tr>
      <w:tr>
        <w:tc>
          <w:tcPr>
            <w:tcW w:type="dxa" w:w="4706"/>
          </w:tcPr>
          <w:p>
            <w:pPr>
              <w:spacing w:after="40"/>
            </w:pPr>
            <w:r>
              <w:rPr>
                <w:sz w:val="18"/>
              </w:rPr>
            </w:r>
            <w:r>
              <w:rPr>
                <w:sz w:val="18"/>
              </w:rPr>
              <w:t>Would not be better as a section of an existing page</w:t>
            </w:r>
          </w:p>
        </w:tc>
        <w:tc>
          <w:tcPr>
            <w:tcW w:type="dxa" w:w="4706"/>
          </w:tcPr>
          <w:p>
            <w:pPr>
              <w:spacing w:after="40"/>
            </w:pPr>
            <w:r>
              <w:rPr>
                <w:sz w:val="18"/>
              </w:rPr>
            </w:r>
            <w:r>
              <w:rPr>
                <w:sz w:val="18"/>
              </w:rPr>
              <w:t>⬜</w:t>
            </w:r>
          </w:p>
        </w:tc>
      </w:tr>
      <w:tr>
        <w:tc>
          <w:tcPr>
            <w:tcW w:type="dxa" w:w="4706"/>
          </w:tcPr>
          <w:p>
            <w:pPr>
              <w:spacing w:after="40"/>
            </w:pPr>
            <w:r>
              <w:rPr>
                <w:sz w:val="18"/>
              </w:rPr>
            </w:r>
            <w:r>
              <w:rPr>
                <w:sz w:val="18"/>
              </w:rPr>
              <w:t>Date, owner and review date set</w:t>
            </w:r>
          </w:p>
        </w:tc>
        <w:tc>
          <w:tcPr>
            <w:tcW w:type="dxa" w:w="4706"/>
          </w:tcPr>
          <w:p>
            <w:pPr>
              <w:spacing w:after="40"/>
            </w:pPr>
            <w:r>
              <w:rPr>
                <w:sz w:val="18"/>
              </w:rPr>
            </w:r>
            <w:r>
              <w:rPr>
                <w:sz w:val="18"/>
              </w:rPr>
              <w:t>⬜</w:t>
            </w:r>
          </w:p>
        </w:tc>
      </w:tr>
      <w:tr>
        <w:tc>
          <w:tcPr>
            <w:tcW w:type="dxa" w:w="4706"/>
          </w:tcPr>
          <w:p>
            <w:pPr>
              <w:spacing w:after="40"/>
            </w:pPr>
            <w:r>
              <w:rPr>
                <w:sz w:val="18"/>
              </w:rPr>
            </w:r>
            <w:r>
              <w:rPr>
                <w:b/>
                <w:sz w:val="18"/>
              </w:rPr>
              <w:t>Published by</w:t>
            </w:r>
          </w:p>
        </w:tc>
        <w:tc>
          <w:tcPr>
            <w:tcW w:type="dxa" w:w="4706"/>
          </w:tcPr>
          <w:p>
            <w:pPr>
              <w:spacing w:after="40"/>
            </w:pPr>
            <w:r>
              <w:rPr>
                <w:sz w:val="18"/>
              </w:rPr>
            </w:r>
            <w:r>
              <w:rPr>
                <w:sz w:val="18"/>
              </w:rPr>
              <w:t>[A name. Nothing publishes automatically]</w:t>
            </w:r>
          </w:p>
        </w:tc>
      </w:tr>
    </w:tbl>
    <w:p>
      <w:pPr>
        <w:spacing w:after="40"/>
      </w:pPr>
    </w:p>
    <w:p>
      <w:pPr>
        <w:pStyle w:val="Heading1"/>
      </w:pPr>
      <w:r>
        <w:t>3. Claim verification record</w:t>
      </w:r>
    </w:p>
    <w:p>
      <w:r>
        <w:t>One row per factual claim about us. Kept, because the claim that gets checked is the one that was never verified.</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Claim</w:t>
            </w:r>
          </w:p>
        </w:tc>
        <w:tc>
          <w:tcPr>
            <w:tcW w:type="dxa" w:w="1882"/>
            <w:shd w:val="clear" w:color="auto" w:fill="F1EAFE"/>
          </w:tcPr>
          <w:p>
            <w:pPr>
              <w:spacing w:after="40"/>
            </w:pPr>
            <w:r>
              <w:rPr>
                <w:b/>
                <w:sz w:val="18"/>
              </w:rPr>
            </w:r>
            <w:r>
              <w:rPr>
                <w:b/>
                <w:sz w:val="18"/>
              </w:rPr>
              <w:t>Type</w:t>
            </w:r>
          </w:p>
        </w:tc>
        <w:tc>
          <w:tcPr>
            <w:tcW w:type="dxa" w:w="1882"/>
            <w:shd w:val="clear" w:color="auto" w:fill="F1EAFE"/>
          </w:tcPr>
          <w:p>
            <w:pPr>
              <w:spacing w:after="40"/>
            </w:pPr>
            <w:r>
              <w:rPr>
                <w:b/>
                <w:sz w:val="18"/>
              </w:rPr>
            </w:r>
            <w:r>
              <w:rPr>
                <w:b/>
                <w:sz w:val="18"/>
              </w:rPr>
              <w:t>Verified against</w:t>
            </w:r>
          </w:p>
        </w:tc>
        <w:tc>
          <w:tcPr>
            <w:tcW w:type="dxa" w:w="1882"/>
            <w:shd w:val="clear" w:color="auto" w:fill="F1EAFE"/>
          </w:tcPr>
          <w:p>
            <w:pPr>
              <w:spacing w:after="40"/>
            </w:pPr>
            <w:r>
              <w:rPr>
                <w:b/>
                <w:sz w:val="18"/>
              </w:rPr>
            </w:r>
            <w:r>
              <w:rPr>
                <w:b/>
                <w:sz w:val="18"/>
              </w:rPr>
              <w:t>By whom</w:t>
            </w:r>
          </w:p>
        </w:tc>
        <w:tc>
          <w:tcPr>
            <w:tcW w:type="dxa" w:w="1882"/>
            <w:shd w:val="clear" w:color="auto" w:fill="F1EAFE"/>
          </w:tcPr>
          <w:p>
            <w:pPr>
              <w:spacing w:after="40"/>
            </w:pPr>
            <w:r>
              <w:rPr>
                <w:b/>
                <w:sz w:val="18"/>
              </w:rPr>
            </w:r>
            <w:r>
              <w:rPr>
                <w:b/>
                <w:sz w:val="18"/>
              </w:rPr>
              <w:t>Date</w:t>
            </w:r>
          </w:p>
        </w:tc>
      </w:tr>
      <w:tr>
        <w:tc>
          <w:tcPr>
            <w:tcW w:type="dxa" w:w="1882"/>
          </w:tcPr>
          <w:p>
            <w:pPr>
              <w:spacing w:after="40"/>
            </w:pPr>
            <w:r>
              <w:rPr>
                <w:sz w:val="18"/>
              </w:rPr>
            </w:r>
          </w:p>
        </w:tc>
        <w:tc>
          <w:tcPr>
            <w:tcW w:type="dxa" w:w="1882"/>
          </w:tcPr>
          <w:p>
            <w:pPr>
              <w:spacing w:after="40"/>
            </w:pPr>
            <w:r>
              <w:rPr>
                <w:sz w:val="18"/>
              </w:rPr>
            </w:r>
            <w:r>
              <w:rPr>
                <w:sz w:val="18"/>
              </w:rPr>
              <w:t>[Customer / result / capability / comparison]</w:t>
            </w:r>
          </w:p>
        </w:tc>
        <w:tc>
          <w:tcPr>
            <w:tcW w:type="dxa" w:w="1882"/>
          </w:tcPr>
          <w:p>
            <w:pPr>
              <w:spacing w:after="40"/>
            </w:pPr>
            <w:r>
              <w:rPr>
                <w:sz w:val="18"/>
              </w:rPr>
            </w:r>
            <w:r>
              <w:rPr>
                <w:sz w:val="18"/>
              </w:rPr>
              <w:t>[Written permission, measurement with method, delivery confirmation, public source]</w:t>
            </w:r>
          </w:p>
        </w:tc>
        <w:tc>
          <w:tcPr>
            <w:tcW w:type="dxa" w:w="1882"/>
          </w:tcPr>
          <w:p>
            <w:pPr>
              <w:spacing w:after="40"/>
            </w:pPr>
            <w:r>
              <w:rPr>
                <w:sz w:val="18"/>
              </w:rPr>
            </w:r>
          </w:p>
        </w:tc>
        <w:tc>
          <w:tcPr>
            <w:tcW w:type="dxa" w:w="1882"/>
          </w:tcPr>
          <w:p>
            <w:pPr>
              <w:spacing w:after="40"/>
            </w:pPr>
            <w:r>
              <w:rPr>
                <w:sz w:val="18"/>
              </w:rPr>
            </w:r>
          </w:p>
        </w:tc>
      </w:tr>
    </w:tbl>
    <w:p>
      <w:pPr>
        <w:spacing w:after="40"/>
      </w:pP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Rule</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Naming a customer</w:t>
            </w:r>
          </w:p>
        </w:tc>
        <w:tc>
          <w:tcPr>
            <w:tcW w:type="dxa" w:w="4706"/>
          </w:tcPr>
          <w:p>
            <w:pPr>
              <w:spacing w:after="40"/>
            </w:pPr>
            <w:r>
              <w:rPr>
                <w:sz w:val="18"/>
              </w:rPr>
            </w:r>
            <w:r>
              <w:rPr>
                <w:sz w:val="18"/>
              </w:rPr>
              <w:t>Written permission. Includes logos</w:t>
            </w:r>
          </w:p>
        </w:tc>
      </w:tr>
      <w:tr>
        <w:tc>
          <w:tcPr>
            <w:tcW w:type="dxa" w:w="4706"/>
          </w:tcPr>
          <w:p>
            <w:pPr>
              <w:spacing w:after="40"/>
            </w:pPr>
            <w:r>
              <w:rPr>
                <w:sz w:val="18"/>
              </w:rPr>
            </w:r>
            <w:r>
              <w:rPr>
                <w:sz w:val="18"/>
              </w:rPr>
              <w:t>Quoting a result</w:t>
            </w:r>
          </w:p>
        </w:tc>
        <w:tc>
          <w:tcPr>
            <w:tcW w:type="dxa" w:w="4706"/>
          </w:tcPr>
          <w:p>
            <w:pPr>
              <w:spacing w:after="40"/>
            </w:pPr>
            <w:r>
              <w:rPr>
                <w:sz w:val="18"/>
              </w:rPr>
            </w:r>
            <w:r>
              <w:rPr>
                <w:sz w:val="18"/>
              </w:rPr>
              <w:t>The measurement, its method and its date</w:t>
            </w:r>
          </w:p>
        </w:tc>
      </w:tr>
      <w:tr>
        <w:tc>
          <w:tcPr>
            <w:tcW w:type="dxa" w:w="4706"/>
          </w:tcPr>
          <w:p>
            <w:pPr>
              <w:spacing w:after="40"/>
            </w:pPr>
            <w:r>
              <w:rPr>
                <w:sz w:val="18"/>
              </w:rPr>
            </w:r>
            <w:r>
              <w:rPr>
                <w:sz w:val="18"/>
              </w:rPr>
              <w:t>Claiming a capability</w:t>
            </w:r>
          </w:p>
        </w:tc>
        <w:tc>
          <w:tcPr>
            <w:tcW w:type="dxa" w:w="4706"/>
          </w:tcPr>
          <w:p>
            <w:pPr>
              <w:spacing w:after="40"/>
            </w:pPr>
            <w:r>
              <w:rPr>
                <w:sz w:val="18"/>
              </w:rPr>
            </w:r>
            <w:r>
              <w:rPr>
                <w:sz w:val="18"/>
              </w:rPr>
              <w:t xml:space="preserve">Delivery confirms we can do it </w:t>
            </w:r>
            <w:r>
              <w:rPr>
                <w:b/>
                <w:sz w:val="18"/>
              </w:rPr>
              <w:t>now</w:t>
            </w:r>
          </w:p>
        </w:tc>
      </w:tr>
      <w:tr>
        <w:tc>
          <w:tcPr>
            <w:tcW w:type="dxa" w:w="4706"/>
          </w:tcPr>
          <w:p>
            <w:pPr>
              <w:spacing w:after="40"/>
            </w:pPr>
            <w:r>
              <w:rPr>
                <w:sz w:val="18"/>
              </w:rPr>
            </w:r>
            <w:r>
              <w:rPr>
                <w:sz w:val="18"/>
              </w:rPr>
              <w:t>Any comparison</w:t>
            </w:r>
          </w:p>
        </w:tc>
        <w:tc>
          <w:tcPr>
            <w:tcW w:type="dxa" w:w="4706"/>
          </w:tcPr>
          <w:p>
            <w:pPr>
              <w:spacing w:after="40"/>
            </w:pPr>
            <w:r>
              <w:rPr>
                <w:sz w:val="18"/>
              </w:rPr>
            </w:r>
            <w:r>
              <w:rPr>
                <w:sz w:val="18"/>
              </w:rPr>
              <w:t>Public, checkable, and never naming a competitor</w:t>
            </w:r>
          </w:p>
        </w:tc>
      </w:tr>
    </w:tbl>
    <w:p>
      <w:pPr>
        <w:spacing w:after="40"/>
      </w:pPr>
    </w:p>
    <w:p>
      <w:pPr>
        <w:pStyle w:val="Heading1"/>
      </w:pPr>
      <w:r>
        <w:t>4. Quarterly decay review</w:t>
      </w:r>
    </w:p>
    <w:p>
      <w:r>
        <w:t>The highest-return work in the function and the first thing dropped when the calendar is busy.</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Page</w:t>
            </w:r>
          </w:p>
        </w:tc>
        <w:tc>
          <w:tcPr>
            <w:tcW w:type="dxa" w:w="1882"/>
            <w:shd w:val="clear" w:color="auto" w:fill="F1EAFE"/>
          </w:tcPr>
          <w:p>
            <w:pPr>
              <w:spacing w:after="40"/>
            </w:pPr>
            <w:r>
              <w:rPr>
                <w:b/>
                <w:sz w:val="18"/>
              </w:rPr>
            </w:r>
            <w:r>
              <w:rPr>
                <w:b/>
                <w:sz w:val="18"/>
              </w:rPr>
              <w:t>Published</w:t>
            </w:r>
          </w:p>
        </w:tc>
        <w:tc>
          <w:tcPr>
            <w:tcW w:type="dxa" w:w="1882"/>
            <w:shd w:val="clear" w:color="auto" w:fill="F1EAFE"/>
          </w:tcPr>
          <w:p>
            <w:pPr>
              <w:spacing w:after="40"/>
            </w:pPr>
            <w:r>
              <w:rPr>
                <w:b/>
                <w:sz w:val="18"/>
              </w:rPr>
            </w:r>
            <w:r>
              <w:rPr>
                <w:b/>
                <w:sz w:val="18"/>
              </w:rPr>
              <w:t>Traffic then</w:t>
            </w:r>
          </w:p>
        </w:tc>
        <w:tc>
          <w:tcPr>
            <w:tcW w:type="dxa" w:w="1882"/>
            <w:shd w:val="clear" w:color="auto" w:fill="F1EAFE"/>
          </w:tcPr>
          <w:p>
            <w:pPr>
              <w:spacing w:after="40"/>
            </w:pPr>
            <w:r>
              <w:rPr>
                <w:b/>
                <w:sz w:val="18"/>
              </w:rPr>
            </w:r>
            <w:r>
              <w:rPr>
                <w:b/>
                <w:sz w:val="18"/>
              </w:rPr>
              <w:t>Traffic now</w:t>
            </w:r>
          </w:p>
        </w:tc>
        <w:tc>
          <w:tcPr>
            <w:tcW w:type="dxa" w:w="1882"/>
            <w:shd w:val="clear" w:color="auto" w:fill="F1EAFE"/>
          </w:tcPr>
          <w:p>
            <w:pPr>
              <w:spacing w:after="40"/>
            </w:pPr>
            <w:r>
              <w:rPr>
                <w:b/>
                <w:sz w:val="18"/>
              </w:rPr>
            </w:r>
            <w:r>
              <w:rPr>
                <w:b/>
                <w:sz w:val="18"/>
              </w:rPr>
              <w:t>Verdict</w:t>
            </w:r>
          </w:p>
        </w:tc>
      </w:tr>
      <w:tr>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r>
              <w:rPr>
                <w:sz w:val="18"/>
              </w:rPr>
              <w:t>[Update / Merge / Remove / Leave]</w:t>
            </w:r>
          </w:p>
        </w:tc>
      </w:tr>
    </w:tbl>
    <w:p>
      <w:pPr>
        <w:spacing w:after="40"/>
      </w:pP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Summary</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Pages that ranked and no longer do</w:t>
            </w:r>
          </w:p>
        </w:tc>
        <w:tc>
          <w:tcPr>
            <w:tcW w:type="dxa" w:w="4706"/>
          </w:tcPr>
          <w:p>
            <w:pPr>
              <w:spacing w:after="40"/>
            </w:pPr>
            <w:r>
              <w:rPr>
                <w:sz w:val="18"/>
              </w:rPr>
            </w:r>
            <w:r>
              <w:rPr>
                <w:sz w:val="18"/>
              </w:rPr>
              <w:t>[Update these first. A refresh usually beats a new piece]</w:t>
            </w:r>
          </w:p>
        </w:tc>
      </w:tr>
      <w:tr>
        <w:tc>
          <w:tcPr>
            <w:tcW w:type="dxa" w:w="4706"/>
          </w:tcPr>
          <w:p>
            <w:pPr>
              <w:spacing w:after="40"/>
            </w:pPr>
            <w:r>
              <w:rPr>
                <w:sz w:val="18"/>
              </w:rPr>
            </w:r>
            <w:r>
              <w:rPr>
                <w:sz w:val="18"/>
              </w:rPr>
              <w:t>Pages that never earned a visitor</w:t>
            </w:r>
          </w:p>
        </w:tc>
        <w:tc>
          <w:tcPr>
            <w:tcW w:type="dxa" w:w="4706"/>
          </w:tcPr>
          <w:p>
            <w:pPr>
              <w:spacing w:after="40"/>
            </w:pPr>
            <w:r>
              <w:rPr>
                <w:sz w:val="18"/>
              </w:rPr>
            </w:r>
            <w:r>
              <w:rPr>
                <w:sz w:val="18"/>
              </w:rPr>
              <w:t>[Improve or remove. Keeping them costs domain quality]</w:t>
            </w:r>
          </w:p>
        </w:tc>
      </w:tr>
      <w:tr>
        <w:tc>
          <w:tcPr>
            <w:tcW w:type="dxa" w:w="4706"/>
          </w:tcPr>
          <w:p>
            <w:pPr>
              <w:spacing w:after="40"/>
            </w:pPr>
            <w:r>
              <w:rPr>
                <w:sz w:val="18"/>
              </w:rPr>
            </w:r>
            <w:r>
              <w:rPr>
                <w:sz w:val="18"/>
              </w:rPr>
              <w:t>Pages now out of date</w:t>
            </w:r>
          </w:p>
        </w:tc>
        <w:tc>
          <w:tcPr>
            <w:tcW w:type="dxa" w:w="4706"/>
          </w:tcPr>
          <w:p>
            <w:pPr>
              <w:spacing w:after="40"/>
            </w:pPr>
            <w:r>
              <w:rPr>
                <w:sz w:val="18"/>
              </w:rPr>
            </w:r>
            <w:r>
              <w:rPr>
                <w:sz w:val="18"/>
              </w:rPr>
              <w:t>[Dated, technical or regulatory. A wrong page is worse than no page]</w:t>
            </w:r>
          </w:p>
        </w:tc>
      </w:tr>
      <w:tr>
        <w:tc>
          <w:tcPr>
            <w:tcW w:type="dxa" w:w="4706"/>
          </w:tcPr>
          <w:p>
            <w:pPr>
              <w:spacing w:after="40"/>
            </w:pPr>
            <w:r>
              <w:rPr>
                <w:sz w:val="18"/>
              </w:rPr>
            </w:r>
            <w:r>
              <w:rPr>
                <w:sz w:val="18"/>
              </w:rPr>
              <w:t>Pages on page two of results</w:t>
            </w:r>
          </w:p>
        </w:tc>
        <w:tc>
          <w:tcPr>
            <w:tcW w:type="dxa" w:w="4706"/>
          </w:tcPr>
          <w:p>
            <w:pPr>
              <w:spacing w:after="40"/>
            </w:pPr>
            <w:r>
              <w:rPr>
                <w:sz w:val="18"/>
              </w:rPr>
            </w:r>
            <w:r>
              <w:rPr>
                <w:sz w:val="18"/>
              </w:rPr>
              <w:t>[The cheapest wins available]</w:t>
            </w:r>
          </w:p>
        </w:tc>
      </w:tr>
      <w:tr>
        <w:tc>
          <w:tcPr>
            <w:tcW w:type="dxa" w:w="4706"/>
          </w:tcPr>
          <w:p>
            <w:pPr>
              <w:spacing w:after="40"/>
            </w:pPr>
            <w:r>
              <w:rPr>
                <w:sz w:val="18"/>
              </w:rPr>
            </w:r>
            <w:r>
              <w:rPr>
                <w:b/>
                <w:sz w:val="18"/>
              </w:rPr>
              <w:t>Thin-content share</w:t>
            </w:r>
          </w:p>
        </w:tc>
        <w:tc>
          <w:tcPr>
            <w:tcW w:type="dxa" w:w="4706"/>
          </w:tcPr>
          <w:p>
            <w:pPr>
              <w:spacing w:after="40"/>
            </w:pPr>
            <w:r>
              <w:rPr>
                <w:sz w:val="18"/>
              </w:rPr>
            </w:r>
            <w:r>
              <w:rPr>
                <w:sz w:val="18"/>
              </w:rPr>
              <w:t>[Rising quarter on quarter means stop publishing and start pruning]</w:t>
            </w:r>
          </w:p>
        </w:tc>
      </w:tr>
    </w:tbl>
    <w:p>
      <w:pPr>
        <w:spacing w:after="40"/>
      </w:pPr>
    </w:p>
    <w:p>
      <w:pPr>
        <w:pStyle w:val="Heading1"/>
      </w:pPr>
      <w:r>
        <w:t>Using these together</w:t>
      </w:r>
    </w:p>
    <w:p>
      <w:r>
        <w:t xml:space="preserve">The </w:t>
      </w:r>
      <w:r>
        <w:rPr>
          <w:color w:val="7C3AED"/>
          <w:u w:val="single"/>
        </w:rPr>
        <w:t>charter</w:t>
      </w:r>
      <w:r>
        <w:rPr>
          <w:sz w:val="17"/>
        </w:rPr>
        <w:t xml:space="preserve"> (bvlogic.com/ai-company/marketing/)</w:t>
      </w:r>
      <w:r>
        <w:t xml:space="preserve"> sets out what marketing owns, the </w:t>
      </w:r>
      <w:r>
        <w:rPr>
          <w:color w:val="7C3AED"/>
          <w:u w:val="single"/>
        </w:rPr>
        <w:t>SOPs</w:t>
      </w:r>
      <w:r>
        <w:rPr>
          <w:sz w:val="17"/>
        </w:rPr>
        <w:t xml:space="preserve"> (bvlogic.com/ai-company/marketing/sop/)</w:t>
      </w:r>
      <w:r>
        <w:t xml:space="preserve"> say when each is produced, the </w:t>
      </w:r>
      <w:r>
        <w:rPr>
          <w:color w:val="7C3AED"/>
          <w:u w:val="single"/>
        </w:rPr>
        <w:t>KPIs</w:t>
      </w:r>
      <w:r>
        <w:rPr>
          <w:sz w:val="17"/>
        </w:rPr>
        <w:t xml:space="preserve"> (bvlogic.com/ai-company/marketing/kpi/)</w:t>
      </w:r>
      <w:r>
        <w:t xml:space="preserve"> define what the decay review feeds, and the </w:t>
      </w:r>
      <w:r>
        <w:rPr>
          <w:color w:val="7C3AED"/>
          <w:u w:val="single"/>
        </w:rPr>
        <w:t>workflows</w:t>
      </w:r>
      <w:r>
        <w:rPr>
          <w:sz w:val="17"/>
        </w:rPr>
        <w:t xml:space="preserve"> (bvlogic.com/ai-company/marketing/workflow/)</w:t>
      </w:r>
      <w:r>
        <w:t xml:space="preserve"> name who receives each output. A brief with a blank "what we know that they cannot get elsewhere" row should never reach a draft.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Marketing: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the working templates</dc:title>
  <dc:subject/>
  <dc:creator>BvLogic</dc:creator>
  <cp:keywords>BvLogic, Template, enterprise AI, Marketing: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