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Marketing: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BVL-F01AB5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SOP 1: The content brief</w:t>
      </w:r>
    </w:p>
    <w:p>
      <w:r>
        <w:rPr>
          <w:b/>
        </w:rPr>
        <w:t>Run:</w:t>
      </w:r>
      <w:r>
        <w:t xml:space="preserve"> before anything is drafted.</w:t>
      </w:r>
    </w:p>
    <w:p>
      <w:r>
        <w:t>Nothing is written without a brief answering four questions: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A bad answer</w:t>
            </w:r>
          </w:p>
        </w:tc>
      </w:tr>
      <w:tr>
        <w:tc>
          <w:tcPr>
            <w:tcW w:type="dxa" w:w="4706"/>
          </w:tcPr>
          <w:p>
            <w:pPr>
              <w:spacing w:after="40"/>
            </w:pPr>
            <w:r>
              <w:rPr>
                <w:sz w:val="18"/>
              </w:rPr>
            </w:r>
            <w:r>
              <w:rPr>
                <w:sz w:val="18"/>
              </w:rPr>
              <w:t>Who is this for?</w:t>
            </w:r>
          </w:p>
        </w:tc>
        <w:tc>
          <w:tcPr>
            <w:tcW w:type="dxa" w:w="4706"/>
          </w:tcPr>
          <w:p>
            <w:pPr>
              <w:spacing w:after="40"/>
            </w:pPr>
            <w:r>
              <w:rPr>
                <w:sz w:val="18"/>
              </w:rPr>
            </w:r>
            <w:r>
              <w:rPr>
                <w:sz w:val="18"/>
              </w:rPr>
              <w:t>"Anyone interested in AI"</w:t>
            </w:r>
          </w:p>
        </w:tc>
      </w:tr>
      <w:tr>
        <w:tc>
          <w:tcPr>
            <w:tcW w:type="dxa" w:w="4706"/>
          </w:tcPr>
          <w:p>
            <w:pPr>
              <w:spacing w:after="40"/>
            </w:pPr>
            <w:r>
              <w:rPr>
                <w:sz w:val="18"/>
              </w:rPr>
            </w:r>
            <w:r>
              <w:rPr>
                <w:sz w:val="18"/>
              </w:rPr>
              <w:t>What will they be able to do afterwards?</w:t>
            </w:r>
          </w:p>
        </w:tc>
        <w:tc>
          <w:tcPr>
            <w:tcW w:type="dxa" w:w="4706"/>
          </w:tcPr>
          <w:p>
            <w:pPr>
              <w:spacing w:after="40"/>
            </w:pPr>
            <w:r>
              <w:rPr>
                <w:sz w:val="18"/>
              </w:rPr>
            </w:r>
            <w:r>
              <w:rPr>
                <w:sz w:val="18"/>
              </w:rPr>
              <w:t>"Understand AI better"</w:t>
            </w:r>
          </w:p>
        </w:tc>
      </w:tr>
      <w:tr>
        <w:tc>
          <w:tcPr>
            <w:tcW w:type="dxa" w:w="4706"/>
          </w:tcPr>
          <w:p>
            <w:pPr>
              <w:spacing w:after="40"/>
            </w:pPr>
            <w:r>
              <w:rPr>
                <w:sz w:val="18"/>
              </w:rPr>
            </w:r>
            <w:r>
              <w:rPr>
                <w:sz w:val="18"/>
              </w:rPr>
              <w:t>What do we know that they cannot get elsewhere?</w:t>
            </w:r>
          </w:p>
        </w:tc>
        <w:tc>
          <w:tcPr>
            <w:tcW w:type="dxa" w:w="4706"/>
          </w:tcPr>
          <w:p>
            <w:pPr>
              <w:spacing w:after="40"/>
            </w:pPr>
            <w:r>
              <w:rPr>
                <w:sz w:val="18"/>
              </w:rPr>
            </w:r>
            <w:r>
              <w:rPr>
                <w:sz w:val="18"/>
              </w:rPr>
              <w:t xml:space="preserve">Nothing. </w:t>
            </w:r>
            <w:r>
              <w:rPr>
                <w:b/>
                <w:sz w:val="18"/>
              </w:rPr>
              <w:t>Stop here if so</w:t>
            </w:r>
          </w:p>
        </w:tc>
      </w:tr>
      <w:tr>
        <w:tc>
          <w:tcPr>
            <w:tcW w:type="dxa" w:w="4706"/>
          </w:tcPr>
          <w:p>
            <w:pPr>
              <w:spacing w:after="40"/>
            </w:pPr>
            <w:r>
              <w:rPr>
                <w:sz w:val="18"/>
              </w:rPr>
            </w:r>
            <w:r>
              <w:rPr>
                <w:sz w:val="18"/>
              </w:rPr>
              <w:t>What is the evidence?</w:t>
            </w:r>
          </w:p>
        </w:tc>
        <w:tc>
          <w:tcPr>
            <w:tcW w:type="dxa" w:w="4706"/>
          </w:tcPr>
          <w:p>
            <w:pPr>
              <w:spacing w:after="40"/>
            </w:pPr>
            <w:r>
              <w:rPr>
                <w:sz w:val="18"/>
              </w:rPr>
            </w:r>
            <w:r>
              <w:rPr>
                <w:sz w:val="18"/>
              </w:rPr>
              <w:t>"Industry consensus"</w:t>
            </w:r>
          </w:p>
        </w:tc>
      </w:tr>
    </w:tbl>
    <w:p>
      <w:pPr>
        <w:spacing w:after="40"/>
      </w:pPr>
    </w:p>
    <w:p>
      <w:r>
        <w:rPr>
          <w:b/>
        </w:rPr>
        <w:t>The third question kills most ideas, and that is the point.</w:t>
      </w:r>
      <w:r>
        <w:t xml:space="preserve"> If we have nothing to say that is not already said better somewhere else, the correct output is no article.</w:t>
      </w:r>
    </w:p>
    <w:p>
      <w:pPr>
        <w:pStyle w:val="Heading1"/>
      </w:pPr>
      <w:r>
        <w:t>SOP 2: The editorial gate</w:t>
      </w:r>
    </w:p>
    <w:p>
      <w:r>
        <w:rPr>
          <w:b/>
        </w:rPr>
        <w:t>Run:</w:t>
      </w:r>
      <w:r>
        <w:t xml:space="preserve"> on every draft, by a person.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Check</w:t>
            </w:r>
          </w:p>
        </w:tc>
        <w:tc>
          <w:tcPr>
            <w:tcW w:type="dxa" w:w="4706"/>
            <w:shd w:val="clear" w:color="auto" w:fill="F1EAFE"/>
          </w:tcPr>
          <w:p>
            <w:pPr>
              <w:spacing w:after="40"/>
            </w:pPr>
            <w:r>
              <w:rPr>
                <w:b/>
                <w:sz w:val="18"/>
              </w:rPr>
            </w:r>
            <w:r>
              <w:rPr>
                <w:b/>
                <w:sz w:val="18"/>
              </w:rPr>
              <w:t>Fails if</w:t>
            </w:r>
          </w:p>
        </w:tc>
      </w:tr>
      <w:tr>
        <w:tc>
          <w:tcPr>
            <w:tcW w:type="dxa" w:w="4706"/>
          </w:tcPr>
          <w:p>
            <w:pPr>
              <w:spacing w:after="40"/>
            </w:pPr>
            <w:r>
              <w:rPr>
                <w:sz w:val="18"/>
              </w:rPr>
            </w:r>
            <w:r>
              <w:rPr>
                <w:sz w:val="18"/>
              </w:rPr>
              <w:t>Says something</w:t>
            </w:r>
          </w:p>
        </w:tc>
        <w:tc>
          <w:tcPr>
            <w:tcW w:type="dxa" w:w="4706"/>
          </w:tcPr>
          <w:p>
            <w:pPr>
              <w:spacing w:after="40"/>
            </w:pPr>
            <w:r>
              <w:rPr>
                <w:sz w:val="18"/>
              </w:rPr>
            </w:r>
            <w:r>
              <w:rPr>
                <w:sz w:val="18"/>
              </w:rPr>
              <w:t>A reader who knows the basics learns nothing</w:t>
            </w:r>
          </w:p>
        </w:tc>
      </w:tr>
      <w:tr>
        <w:tc>
          <w:tcPr>
            <w:tcW w:type="dxa" w:w="4706"/>
          </w:tcPr>
          <w:p>
            <w:pPr>
              <w:spacing w:after="40"/>
            </w:pPr>
            <w:r>
              <w:rPr>
                <w:sz w:val="18"/>
              </w:rPr>
            </w:r>
            <w:r>
              <w:rPr>
                <w:sz w:val="18"/>
              </w:rPr>
              <w:t>Sourced</w:t>
            </w:r>
          </w:p>
        </w:tc>
        <w:tc>
          <w:tcPr>
            <w:tcW w:type="dxa" w:w="4706"/>
          </w:tcPr>
          <w:p>
            <w:pPr>
              <w:spacing w:after="40"/>
            </w:pPr>
            <w:r>
              <w:rPr>
                <w:sz w:val="18"/>
              </w:rPr>
            </w:r>
            <w:r>
              <w:rPr>
                <w:sz w:val="18"/>
              </w:rPr>
              <w:t>Any number without a source or a measurement of our own</w:t>
            </w:r>
          </w:p>
        </w:tc>
      </w:tr>
      <w:tr>
        <w:tc>
          <w:tcPr>
            <w:tcW w:type="dxa" w:w="4706"/>
          </w:tcPr>
          <w:p>
            <w:pPr>
              <w:spacing w:after="40"/>
            </w:pPr>
            <w:r>
              <w:rPr>
                <w:sz w:val="18"/>
              </w:rPr>
            </w:r>
            <w:r>
              <w:rPr>
                <w:sz w:val="18"/>
              </w:rPr>
              <w:t>Honest</w:t>
            </w:r>
          </w:p>
        </w:tc>
        <w:tc>
          <w:tcPr>
            <w:tcW w:type="dxa" w:w="4706"/>
          </w:tcPr>
          <w:p>
            <w:pPr>
              <w:spacing w:after="40"/>
            </w:pPr>
            <w:r>
              <w:rPr>
                <w:sz w:val="18"/>
              </w:rPr>
            </w:r>
            <w:r>
              <w:rPr>
                <w:sz w:val="18"/>
              </w:rPr>
              <w:t>Claims a capability, customer or result we cannot evidence</w:t>
            </w:r>
          </w:p>
        </w:tc>
      </w:tr>
      <w:tr>
        <w:tc>
          <w:tcPr>
            <w:tcW w:type="dxa" w:w="4706"/>
          </w:tcPr>
          <w:p>
            <w:pPr>
              <w:spacing w:after="40"/>
            </w:pPr>
            <w:r>
              <w:rPr>
                <w:sz w:val="18"/>
              </w:rPr>
            </w:r>
            <w:r>
              <w:rPr>
                <w:sz w:val="18"/>
              </w:rPr>
              <w:t>Voice</w:t>
            </w:r>
          </w:p>
        </w:tc>
        <w:tc>
          <w:tcPr>
            <w:tcW w:type="dxa" w:w="4706"/>
          </w:tcPr>
          <w:p>
            <w:pPr>
              <w:spacing w:after="40"/>
            </w:pPr>
            <w:r>
              <w:rPr>
                <w:sz w:val="18"/>
              </w:rPr>
            </w:r>
            <w:r>
              <w:rPr>
                <w:sz w:val="18"/>
              </w:rPr>
              <w:t xml:space="preserve">Reads as machine-written. The </w:t>
            </w:r>
            <w:r>
              <w:rPr>
                <w:color w:val="7C3AED"/>
                <w:sz w:val="18"/>
                <w:u w:val="single"/>
              </w:rPr>
              <w:t>house voice</w:t>
            </w:r>
            <w:r>
              <w:rPr>
                <w:sz w:val="18"/>
              </w:rPr>
              <w:t xml:space="preserve"> (bvlogic.com/knowledge/)</w:t>
            </w:r>
            <w:r>
              <w:rPr>
                <w:sz w:val="18"/>
              </w:rPr>
              <w:t xml:space="preserve"> rules apply and are enforced by the build</w:t>
            </w:r>
          </w:p>
        </w:tc>
      </w:tr>
      <w:tr>
        <w:tc>
          <w:tcPr>
            <w:tcW w:type="dxa" w:w="4706"/>
          </w:tcPr>
          <w:p>
            <w:pPr>
              <w:spacing w:after="40"/>
            </w:pPr>
            <w:r>
              <w:rPr>
                <w:sz w:val="18"/>
              </w:rPr>
            </w:r>
            <w:r>
              <w:rPr>
                <w:sz w:val="18"/>
              </w:rPr>
              <w:t>Adds to the domain</w:t>
            </w:r>
          </w:p>
        </w:tc>
        <w:tc>
          <w:tcPr>
            <w:tcW w:type="dxa" w:w="4706"/>
          </w:tcPr>
          <w:p>
            <w:pPr>
              <w:spacing w:after="40"/>
            </w:pPr>
            <w:r>
              <w:rPr>
                <w:sz w:val="18"/>
              </w:rPr>
            </w:r>
            <w:r>
              <w:rPr>
                <w:sz w:val="18"/>
              </w:rPr>
              <w:t>Would not be better as a section of an existing page</w:t>
            </w:r>
          </w:p>
        </w:tc>
      </w:tr>
    </w:tbl>
    <w:p>
      <w:pPr>
        <w:spacing w:after="40"/>
      </w:pPr>
    </w:p>
    <w:p>
      <w:r>
        <w:rPr>
          <w:b/>
        </w:rPr>
        <w:t>The last check prevents the most common mistake</w:t>
      </w:r>
      <w:r>
        <w:t>, which is publishing a thin new page about something an existing page half-covers. Two mediocre pages compete with each other; one good page does not.</w:t>
      </w:r>
    </w:p>
    <w:p>
      <w:pPr>
        <w:pStyle w:val="Heading1"/>
      </w:pPr>
      <w:r>
        <w:t>SOP 3: Publishing</w:t>
      </w:r>
    </w:p>
    <w:p>
      <w:r>
        <w:rPr>
          <w:b/>
        </w:rPr>
        <w:t>Run:</w:t>
      </w:r>
      <w:r>
        <w:t xml:space="preserve"> per piece.</w:t>
      </w:r>
    </w:p>
    <w:p>
      <w:r>
        <w:t>Nothing publishes automatically. A person presses the button, and that is the only reliable safeguard against volume becoming the strategy.</w:t>
      </w:r>
    </w:p>
    <w:p>
      <w:r>
        <w:t>Every piece carries: a date, an owner, a review date, and its sources.</w:t>
      </w:r>
    </w:p>
    <w:p>
      <w:pPr>
        <w:pStyle w:val="Heading1"/>
      </w:pPr>
      <w:r>
        <w:t>SOP 4: Distribution</w:t>
      </w:r>
    </w:p>
    <w:p>
      <w:r>
        <w:rPr>
          <w:b/>
        </w:rPr>
        <w:t>Run:</w:t>
      </w:r>
      <w:r>
        <w:t xml:space="preserve"> after publishing.</w:t>
      </w:r>
    </w:p>
    <w:p>
      <w:r>
        <w:t xml:space="preserve">One good piece reformatted across four channels beats four weak pieces. Reformatting is genuinely suited to automation; the decision about </w:t>
      </w:r>
      <w:r>
        <w:rPr>
          <w:b/>
        </w:rPr>
        <w:t>what deserves amplification</w:t>
      </w:r>
      <w:r>
        <w:t xml:space="preserve"> is not.</w:t>
      </w:r>
    </w:p>
    <w:p>
      <w:pPr>
        <w:pStyle w:val="Heading1"/>
      </w:pPr>
      <w:r>
        <w:t>SOP 5: Quarterly decay review</w:t>
      </w:r>
    </w:p>
    <w:p>
      <w:r>
        <w:rPr>
          <w:b/>
        </w:rPr>
        <w:t>Run:</w:t>
      </w:r>
      <w:r>
        <w:t xml:space="preserve"> quarterly. Protect this slot; it is the highest-return work in the function and the first thing dropped when the calendar gets busy.</w:t>
      </w:r>
    </w:p>
    <w:p>
      <w:pPr>
        <w:pStyle w:val="ListNumber"/>
      </w:pPr>
      <w:r>
        <w:t xml:space="preserve">What ranked and no longer does: </w:t>
      </w:r>
      <w:r>
        <w:rPr>
          <w:b/>
        </w:rPr>
        <w:t>update it first.</w:t>
      </w:r>
      <w:r>
        <w:t xml:space="preserve"> A refreshed page usually beats a new one.</w:t>
      </w:r>
    </w:p>
    <w:p>
      <w:pPr>
        <w:pStyle w:val="ListNumber"/>
      </w:pPr>
      <w:r>
        <w:t>What has never earned a visitor: improve or remove. Keeping it costs domain quality.</w:t>
      </w:r>
    </w:p>
    <w:p>
      <w:pPr>
        <w:pStyle w:val="ListNumber"/>
      </w:pPr>
      <w:r>
        <w:t>What is out of date: anything dated, technical or regulatory. A wrong page is worse than none.</w:t>
      </w:r>
    </w:p>
    <w:p>
      <w:pPr>
        <w:pStyle w:val="ListNumber"/>
      </w:pPr>
      <w:r>
        <w:t>What sits on page two: the cheapest available wins.</w:t>
      </w:r>
    </w:p>
    <w:p>
      <w:pPr>
        <w:pStyle w:val="Heading1"/>
      </w:pPr>
      <w:r>
        <w:t>SOP 6: Claim verification</w:t>
      </w:r>
    </w:p>
    <w:p>
      <w:r>
        <w:rPr>
          <w:b/>
        </w:rPr>
        <w:t>Run:</w:t>
      </w:r>
      <w:r>
        <w:t xml:space="preserve"> on anything asserting a fact about us.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Claim type</w:t>
            </w:r>
          </w:p>
        </w:tc>
        <w:tc>
          <w:tcPr>
            <w:tcW w:type="dxa" w:w="4706"/>
            <w:shd w:val="clear" w:color="auto" w:fill="F1EAFE"/>
          </w:tcPr>
          <w:p>
            <w:pPr>
              <w:spacing w:after="40"/>
            </w:pPr>
            <w:r>
              <w:rPr>
                <w:b/>
                <w:sz w:val="18"/>
              </w:rPr>
            </w:r>
            <w:r>
              <w:rPr>
                <w:b/>
                <w:sz w:val="18"/>
              </w:rPr>
              <w:t>Verified against</w:t>
            </w:r>
          </w:p>
        </w:tc>
      </w:tr>
      <w:tr>
        <w:tc>
          <w:tcPr>
            <w:tcW w:type="dxa" w:w="4706"/>
          </w:tcPr>
          <w:p>
            <w:pPr>
              <w:spacing w:after="40"/>
            </w:pPr>
            <w:r>
              <w:rPr>
                <w:sz w:val="18"/>
              </w:rPr>
            </w:r>
            <w:r>
              <w:rPr>
                <w:sz w:val="18"/>
              </w:rPr>
              <w:t>A customer</w:t>
            </w:r>
          </w:p>
        </w:tc>
        <w:tc>
          <w:tcPr>
            <w:tcW w:type="dxa" w:w="4706"/>
          </w:tcPr>
          <w:p>
            <w:pPr>
              <w:spacing w:after="40"/>
            </w:pPr>
            <w:r>
              <w:rPr>
                <w:sz w:val="18"/>
              </w:rPr>
            </w:r>
            <w:r>
              <w:rPr>
                <w:sz w:val="18"/>
              </w:rPr>
              <w:t>Their written permission. No exceptions, including logos</w:t>
            </w:r>
          </w:p>
        </w:tc>
      </w:tr>
      <w:tr>
        <w:tc>
          <w:tcPr>
            <w:tcW w:type="dxa" w:w="4706"/>
          </w:tcPr>
          <w:p>
            <w:pPr>
              <w:spacing w:after="40"/>
            </w:pPr>
            <w:r>
              <w:rPr>
                <w:sz w:val="18"/>
              </w:rPr>
            </w:r>
            <w:r>
              <w:rPr>
                <w:sz w:val="18"/>
              </w:rPr>
              <w:t>A result or number</w:t>
            </w:r>
          </w:p>
        </w:tc>
        <w:tc>
          <w:tcPr>
            <w:tcW w:type="dxa" w:w="4706"/>
          </w:tcPr>
          <w:p>
            <w:pPr>
              <w:spacing w:after="40"/>
            </w:pPr>
            <w:r>
              <w:rPr>
                <w:sz w:val="18"/>
              </w:rPr>
            </w:r>
            <w:r>
              <w:rPr>
                <w:sz w:val="18"/>
              </w:rPr>
              <w:t>The measurement, with its method and date</w:t>
            </w:r>
          </w:p>
        </w:tc>
      </w:tr>
      <w:tr>
        <w:tc>
          <w:tcPr>
            <w:tcW w:type="dxa" w:w="4706"/>
          </w:tcPr>
          <w:p>
            <w:pPr>
              <w:spacing w:after="40"/>
            </w:pPr>
            <w:r>
              <w:rPr>
                <w:sz w:val="18"/>
              </w:rPr>
            </w:r>
            <w:r>
              <w:rPr>
                <w:sz w:val="18"/>
              </w:rPr>
              <w:t>A capability</w:t>
            </w:r>
          </w:p>
        </w:tc>
        <w:tc>
          <w:tcPr>
            <w:tcW w:type="dxa" w:w="4706"/>
          </w:tcPr>
          <w:p>
            <w:pPr>
              <w:spacing w:after="40"/>
            </w:pPr>
            <w:r>
              <w:rPr>
                <w:sz w:val="18"/>
              </w:rPr>
            </w:r>
            <w:r>
              <w:rPr>
                <w:sz w:val="18"/>
              </w:rPr>
              <w:t>Delivery confirming we can currently do it</w:t>
            </w:r>
          </w:p>
        </w:tc>
      </w:tr>
      <w:tr>
        <w:tc>
          <w:tcPr>
            <w:tcW w:type="dxa" w:w="4706"/>
          </w:tcPr>
          <w:p>
            <w:pPr>
              <w:spacing w:after="40"/>
            </w:pPr>
            <w:r>
              <w:rPr>
                <w:sz w:val="18"/>
              </w:rPr>
            </w:r>
            <w:r>
              <w:rPr>
                <w:sz w:val="18"/>
              </w:rPr>
              <w:t>A comparison</w:t>
            </w:r>
          </w:p>
        </w:tc>
        <w:tc>
          <w:tcPr>
            <w:tcW w:type="dxa" w:w="4706"/>
          </w:tcPr>
          <w:p>
            <w:pPr>
              <w:spacing w:after="40"/>
            </w:pPr>
            <w:r>
              <w:rPr>
                <w:sz w:val="18"/>
              </w:rPr>
            </w:r>
            <w:r>
              <w:rPr>
                <w:sz w:val="18"/>
              </w:rPr>
              <w:t xml:space="preserve">Public, checkable sources. </w:t>
            </w:r>
            <w:r>
              <w:rPr>
                <w:b/>
                <w:sz w:val="18"/>
              </w:rPr>
              <w:t>Never name a competitor</w:t>
            </w:r>
          </w:p>
        </w:tc>
      </w:tr>
    </w:tbl>
    <w:p>
      <w:pPr>
        <w:spacing w:after="40"/>
      </w:pPr>
    </w:p>
    <w:p>
      <w:r>
        <w:t>Marketing claims are the ones a prospect checks, usually at the worst moment. One unverifiable claim costs more trust than ten good articles build.</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A claim cannot be verified</w:t>
            </w:r>
          </w:p>
        </w:tc>
        <w:tc>
          <w:tcPr>
            <w:tcW w:type="dxa" w:w="4706"/>
          </w:tcPr>
          <w:p>
            <w:pPr>
              <w:spacing w:after="40"/>
            </w:pPr>
            <w:r>
              <w:rPr>
                <w:sz w:val="18"/>
              </w:rPr>
            </w:r>
            <w:r>
              <w:rPr>
                <w:sz w:val="18"/>
              </w:rPr>
              <w:t>Remove it. Not a debate</w:t>
            </w:r>
          </w:p>
        </w:tc>
      </w:tr>
      <w:tr>
        <w:tc>
          <w:tcPr>
            <w:tcW w:type="dxa" w:w="4706"/>
          </w:tcPr>
          <w:p>
            <w:pPr>
              <w:spacing w:after="40"/>
            </w:pPr>
            <w:r>
              <w:rPr>
                <w:sz w:val="18"/>
              </w:rPr>
            </w:r>
            <w:r>
              <w:rPr>
                <w:sz w:val="18"/>
              </w:rPr>
              <w:t>A customer is named without written permission</w:t>
            </w:r>
          </w:p>
        </w:tc>
        <w:tc>
          <w:tcPr>
            <w:tcW w:type="dxa" w:w="4706"/>
          </w:tcPr>
          <w:p>
            <w:pPr>
              <w:spacing w:after="40"/>
            </w:pPr>
            <w:r>
              <w:rPr>
                <w:sz w:val="18"/>
              </w:rPr>
            </w:r>
            <w:r>
              <w:rPr>
                <w:sz w:val="18"/>
              </w:rPr>
              <w:t>Stop publication</w:t>
            </w:r>
          </w:p>
        </w:tc>
      </w:tr>
      <w:tr>
        <w:tc>
          <w:tcPr>
            <w:tcW w:type="dxa" w:w="4706"/>
          </w:tcPr>
          <w:p>
            <w:pPr>
              <w:spacing w:after="40"/>
            </w:pPr>
            <w:r>
              <w:rPr>
                <w:sz w:val="18"/>
              </w:rPr>
            </w:r>
            <w:r>
              <w:rPr>
                <w:sz w:val="18"/>
              </w:rPr>
              <w:t>Thin-content share rising quarter on quarter</w:t>
            </w:r>
          </w:p>
        </w:tc>
        <w:tc>
          <w:tcPr>
            <w:tcW w:type="dxa" w:w="4706"/>
          </w:tcPr>
          <w:p>
            <w:pPr>
              <w:spacing w:after="40"/>
            </w:pPr>
            <w:r>
              <w:rPr>
                <w:sz w:val="18"/>
              </w:rPr>
            </w:r>
            <w:r>
              <w:rPr>
                <w:sz w:val="18"/>
              </w:rPr>
              <w:t>Stop publishing, start pruning</w:t>
            </w:r>
          </w:p>
        </w:tc>
      </w:tr>
      <w:tr>
        <w:tc>
          <w:tcPr>
            <w:tcW w:type="dxa" w:w="4706"/>
          </w:tcPr>
          <w:p>
            <w:pPr>
              <w:spacing w:after="40"/>
            </w:pPr>
            <w:r>
              <w:rPr>
                <w:sz w:val="18"/>
              </w:rPr>
            </w:r>
            <w:r>
              <w:rPr>
                <w:sz w:val="18"/>
              </w:rPr>
              <w:t>Positioning drift in drafts</w:t>
            </w:r>
          </w:p>
        </w:tc>
        <w:tc>
          <w:tcPr>
            <w:tcW w:type="dxa" w:w="4706"/>
          </w:tcPr>
          <w:p>
            <w:pPr>
              <w:spacing w:after="40"/>
            </w:pPr>
            <w:r>
              <w:rPr>
                <w:sz w:val="18"/>
              </w:rPr>
            </w:r>
            <w:r>
              <w:rPr>
                <w:sz w:val="18"/>
              </w:rPr>
              <w:t>CEO. Positioning is strategy, not copy</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Marketing: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standard operating procedures</dc:title>
  <dc:subject/>
  <dc:creator>BvLogic</dc:creator>
  <cp:keywords>BvLogic, Sop, enterprise AI, Marketing: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