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Bdr>
          <w:bottom w:val="single" w:sz="8" w:space="4" w:color="7C3AED"/>
        </w:pBdr>
      </w:pPr>
      <w:r>
        <w:rPr>
          <w:rFonts w:ascii="Georgia" w:hAnsi="Georgia"/>
          <w:b/>
          <w:color w:val="7C3AED"/>
          <w:sz w:val="44"/>
        </w:rPr>
        <w:t>BvLogic</w:t>
      </w:r>
    </w:p>
    <w:p>
      <w:pPr>
        <w:spacing w:before="720"/>
      </w:pPr>
      <w:r>
        <w:rPr>
          <w:b/>
          <w:color w:val="5B6471"/>
          <w:sz w:val="18"/>
        </w:rPr>
        <w:t>REPORT</w:t>
      </w:r>
    </w:p>
    <w:p>
      <w:pPr>
        <w:spacing w:after="160"/>
      </w:pPr>
      <w:r>
        <w:rPr>
          <w:rFonts w:ascii="Georgia" w:hAnsi="Georgia"/>
          <w:b/>
          <w:color w:val="0F141A"/>
          <w:sz w:val="56"/>
        </w:rPr>
        <w:t>Model Evaluation Report: Sample</w:t>
      </w:r>
    </w:p>
    <w:tbl>
      <w:tblPr>
        <w:tblStyle w:val="TableGrid"/>
        <w:tblW w:type="auto" w:w="0"/>
        <w:jc w:val="left"/>
        <w:tblLook w:firstColumn="1" w:firstRow="1" w:lastColumn="0" w:lastRow="0" w:noHBand="0" w:noVBand="1" w:val="04A0"/>
      </w:tblPr>
      <w:tblGrid>
        <w:gridCol w:w="4706"/>
        <w:gridCol w:w="4706"/>
      </w:tblGrid>
      <w:tr>
        <w:tc>
          <w:tcPr>
            <w:tcW w:type="dxa" w:w="2551"/>
            <w:shd w:val="clear" w:color="auto" w:fill="F1EAFE"/>
          </w:tcPr>
          <w:p>
            <w:r/>
            <w:r>
              <w:rPr>
                <w:b/>
                <w:sz w:val="18"/>
              </w:rPr>
              <w:t>Document ID</w:t>
            </w:r>
          </w:p>
        </w:tc>
        <w:tc>
          <w:tcPr>
            <w:tcW w:type="dxa" w:w="6520"/>
          </w:tcPr>
          <w:p>
            <w:r/>
            <w:r>
              <w:rPr>
                <w:sz w:val="18"/>
              </w:rPr>
              <w:t>BVL-86BA39</w:t>
            </w:r>
          </w:p>
        </w:tc>
      </w:tr>
      <w:tr>
        <w:tc>
          <w:tcPr>
            <w:tcW w:type="dxa" w:w="2551"/>
            <w:shd w:val="clear" w:color="auto" w:fill="F1EAFE"/>
          </w:tcPr>
          <w:p>
            <w:r/>
            <w:r>
              <w:rPr>
                <w:b/>
                <w:sz w:val="18"/>
              </w:rPr>
              <w:t>Version</w:t>
            </w:r>
          </w:p>
        </w:tc>
        <w:tc>
          <w:tcPr>
            <w:tcW w:type="dxa" w:w="6520"/>
          </w:tcPr>
          <w:p>
            <w:r/>
            <w:r>
              <w:rPr>
                <w:sz w:val="18"/>
              </w:rPr>
              <w:t>1.0</w:t>
            </w:r>
          </w:p>
        </w:tc>
      </w:tr>
      <w:tr>
        <w:tc>
          <w:tcPr>
            <w:tcW w:type="dxa" w:w="2551"/>
            <w:shd w:val="clear" w:color="auto" w:fill="F1EAFE"/>
          </w:tcPr>
          <w:p>
            <w:r/>
            <w:r>
              <w:rPr>
                <w:b/>
                <w:sz w:val="18"/>
              </w:rPr>
              <w:t>Status</w:t>
            </w:r>
          </w:p>
        </w:tc>
        <w:tc>
          <w:tcPr>
            <w:tcW w:type="dxa" w:w="6520"/>
          </w:tcPr>
          <w:p>
            <w:r/>
            <w:r>
              <w:rPr>
                <w:sz w:val="18"/>
              </w:rPr>
              <w:t>Published</w:t>
            </w:r>
          </w:p>
        </w:tc>
      </w:tr>
      <w:tr>
        <w:tc>
          <w:tcPr>
            <w:tcW w:type="dxa" w:w="2551"/>
            <w:shd w:val="clear" w:color="auto" w:fill="F1EAFE"/>
          </w:tcPr>
          <w:p>
            <w:r/>
            <w:r>
              <w:rPr>
                <w:b/>
                <w:sz w:val="18"/>
              </w:rPr>
              <w:t>Owner</w:t>
            </w:r>
          </w:p>
        </w:tc>
        <w:tc>
          <w:tcPr>
            <w:tcW w:type="dxa" w:w="6520"/>
          </w:tcPr>
          <w:p>
            <w:r/>
            <w:r>
              <w:rPr>
                <w:sz w:val="18"/>
              </w:rPr>
              <w:t>BvLogic Knowledge Management</w:t>
            </w:r>
          </w:p>
        </w:tc>
      </w:tr>
      <w:tr>
        <w:tc>
          <w:tcPr>
            <w:tcW w:type="dxa" w:w="2551"/>
            <w:shd w:val="clear" w:color="auto" w:fill="F1EAFE"/>
          </w:tcPr>
          <w:p>
            <w:r/>
            <w:r>
              <w:rPr>
                <w:b/>
                <w:sz w:val="18"/>
              </w:rPr>
              <w:t>Classification</w:t>
            </w:r>
          </w:p>
        </w:tc>
        <w:tc>
          <w:tcPr>
            <w:tcW w:type="dxa" w:w="6520"/>
          </w:tcPr>
          <w:p>
            <w:r/>
            <w:r>
              <w:rPr>
                <w:sz w:val="18"/>
              </w:rPr>
              <w:t>Public</w:t>
            </w:r>
          </w:p>
        </w:tc>
      </w:tr>
      <w:tr>
        <w:tc>
          <w:tcPr>
            <w:tcW w:type="dxa" w:w="2551"/>
            <w:shd w:val="clear" w:color="auto" w:fill="F1EAFE"/>
          </w:tcPr>
          <w:p>
            <w:r/>
            <w:r>
              <w:rPr>
                <w:b/>
                <w:sz w:val="18"/>
              </w:rPr>
              <w:t>Issued</w:t>
            </w:r>
          </w:p>
        </w:tc>
        <w:tc>
          <w:tcPr>
            <w:tcW w:type="dxa" w:w="6520"/>
          </w:tcPr>
          <w:p>
            <w:r/>
            <w:r>
              <w:rPr>
                <w:sz w:val="18"/>
              </w:rPr>
              <w:t>18 August 2026</w:t>
            </w:r>
          </w:p>
        </w:tc>
      </w:tr>
      <w:tr>
        <w:tc>
          <w:tcPr>
            <w:tcW w:type="dxa" w:w="2551"/>
            <w:shd w:val="clear" w:color="auto" w:fill="F1EAFE"/>
          </w:tcPr>
          <w:p>
            <w:r/>
            <w:r>
              <w:rPr>
                <w:b/>
                <w:sz w:val="18"/>
              </w:rPr>
              <w:t>Next review</w:t>
            </w:r>
          </w:p>
        </w:tc>
        <w:tc>
          <w:tcPr>
            <w:tcW w:type="dxa" w:w="6520"/>
          </w:tcPr>
          <w:p>
            <w:r/>
            <w:r>
              <w:rPr>
                <w:sz w:val="18"/>
              </w:rPr>
              <w:t>18 August 2027</w:t>
            </w:r>
          </w:p>
        </w:tc>
      </w:tr>
      <w:tr>
        <w:tc>
          <w:tcPr>
            <w:tcW w:type="dxa" w:w="2551"/>
            <w:shd w:val="clear" w:color="auto" w:fill="F1EAFE"/>
          </w:tcPr>
          <w:p>
            <w:r/>
            <w:r>
              <w:rPr>
                <w:b/>
                <w:sz w:val="18"/>
              </w:rPr>
              <w:t>Document type</w:t>
            </w:r>
          </w:p>
        </w:tc>
        <w:tc>
          <w:tcPr>
            <w:tcW w:type="dxa" w:w="6520"/>
          </w:tcPr>
          <w:p>
            <w:r/>
            <w:r>
              <w:rPr>
                <w:sz w:val="18"/>
              </w:rPr>
              <w:t>Report</w:t>
            </w:r>
          </w:p>
        </w:tc>
      </w:tr>
    </w:tbl>
    <w:p>
      <w:pPr>
        <w:sectPr>
          <w:headerReference w:type="default" r:id="rId9"/>
          <w:pgSz w:w="11906" w:h="16838"/>
          <w:pgMar w:top="1417" w:right="1247" w:bottom="1417" w:left="1247" w:header="680" w:footer="680" w:gutter="0"/>
          <w:cols w:space="720"/>
          <w:docGrid w:linePitch="360"/>
        </w:sectPr>
      </w:pPr>
    </w:p>
    <w:p>
      <w:r>
        <w:rPr>
          <w:rFonts w:ascii="Georgia" w:hAnsi="Georgia"/>
          <w:b/>
          <w:color w:val="7C3AED"/>
          <w:sz w:val="28"/>
        </w:rPr>
        <w:t>Contents</w:t>
      </w:r>
    </w:p>
    <w:p>
      <w:r>
        <w:fldChar w:fldCharType="begin"/>
      </w:r>
      <w:r>
        <w:instrText xml:space="preserve"> TOC \o "1-3" \h \z \u </w:instrText>
      </w:r>
      <w:r>
        <w:fldChar w:fldCharType="separate"/>
      </w:r>
      <w:r>
        <w:fldChar w:fldCharType="end"/>
      </w:r>
    </w:p>
    <w:p>
      <w:r>
        <w:br w:type="page"/>
      </w:r>
    </w:p>
    <w:p>
      <w:pPr>
        <w:ind w:left="454"/>
        <w:shd w:val="clear" w:color="auto" w:fill="FAFAFB"/>
      </w:pPr>
      <w:r>
        <w:rPr>
          <w:i/>
        </w:rPr>
        <w:t>This is an illustrative example. The model, figures and findings are composed to show the shape</w:t>
      </w:r>
    </w:p>
    <w:p>
      <w:pPr>
        <w:ind w:left="454"/>
        <w:shd w:val="clear" w:color="auto" w:fill="FAFAFB"/>
      </w:pPr>
      <w:r>
        <w:rPr>
          <w:i/>
        </w:rPr>
        <w:t>of an honest evaluation, not drawn from a named engagement.</w:t>
      </w:r>
    </w:p>
    <w:p>
      <w:r>
        <w:rPr>
          <w:b/>
        </w:rPr>
        <w:t>Model:</w:t>
      </w:r>
      <w:r>
        <w:t xml:space="preserve"> Delivery delay prediction v1.4 </w:t>
      </w:r>
      <w:r>
        <w:rPr>
          <w:b/>
        </w:rPr>
        <w:t>Prepared by:</w:t>
      </w:r>
      <w:r>
        <w:t xml:space="preserve"> _______  </w:t>
      </w:r>
      <w:r>
        <w:rPr>
          <w:b/>
        </w:rPr>
        <w:t>Date:</w:t>
      </w:r>
      <w:r>
        <w:t xml:space="preserve"> _______ </w:t>
      </w:r>
      <w:r>
        <w:rPr>
          <w:b/>
        </w:rPr>
        <w:t>Decision requested:</w:t>
      </w:r>
      <w:r>
        <w:t xml:space="preserve"> approve for production use in the operations queue</w:t>
      </w:r>
    </w:p>
    <w:p>
      <w:pPr>
        <w:pStyle w:val="Heading1"/>
      </w:pPr>
      <w:r>
        <w:t>1. Summary</w:t>
      </w:r>
    </w:p>
    <w:p>
      <w:r>
        <w:t>The model predicts whether an order will miss its promised delivery date, 24 hours ahead.</w:t>
      </w:r>
    </w:p>
    <w:p>
      <w:r>
        <w:rPr>
          <w:b/>
        </w:rPr>
        <w:t>Recommendation: approve, for the ranked-queue use case only, with monitoring in place before go-live.</w:t>
      </w:r>
      <w:r>
        <w:t xml:space="preserve"> It is not suitable for automated customer notification, for the reason in §5.</w:t>
      </w:r>
    </w:p>
    <w:tbl>
      <w:tblPr>
        <w:tblStyle w:val="TableGrid"/>
        <w:tblW w:type="auto" w:w="0"/>
        <w:tblLook w:firstColumn="1" w:firstRow="1" w:lastColumn="0" w:lastRow="0" w:noHBand="0" w:noVBand="1" w:val="04A0"/>
      </w:tblPr>
      <w:tblGrid>
        <w:gridCol w:w="4706"/>
        <w:gridCol w:w="4706"/>
      </w:tblGrid>
      <w:tr>
        <w:trPr>
          <w:tblHeader w:val="true"/>
        </w:trPr>
        <w:tc>
          <w:tcPr>
            <w:tcW w:type="dxa" w:w="4706"/>
            <w:shd w:val="clear" w:color="auto" w:fill="F1EAFE"/>
          </w:tcPr>
          <w:p>
            <w:pPr>
              <w:spacing w:after="40"/>
            </w:pPr>
            <w:r>
              <w:rPr>
                <w:b/>
                <w:sz w:val="18"/>
              </w:rPr>
            </w:r>
            <w:r>
              <w:rPr>
                <w:b/>
                <w:sz w:val="18"/>
              </w:rPr>
              <w:t>Recall (missed deliveries found)</w:t>
            </w:r>
          </w:p>
        </w:tc>
        <w:tc>
          <w:tcPr>
            <w:tcW w:type="dxa" w:w="4706"/>
            <w:shd w:val="clear" w:color="auto" w:fill="F1EAFE"/>
          </w:tcPr>
          <w:p>
            <w:pPr>
              <w:spacing w:after="40"/>
            </w:pPr>
            <w:r>
              <w:rPr>
                <w:b/>
                <w:sz w:val="18"/>
              </w:rPr>
            </w:r>
            <w:r>
              <w:rPr>
                <w:b/>
                <w:sz w:val="18"/>
              </w:rPr>
              <w:t>0.71</w:t>
            </w:r>
          </w:p>
        </w:tc>
      </w:tr>
      <w:tr>
        <w:tc>
          <w:tcPr>
            <w:tcW w:type="dxa" w:w="4706"/>
          </w:tcPr>
          <w:p>
            <w:pPr>
              <w:spacing w:after="40"/>
            </w:pPr>
            <w:r>
              <w:rPr>
                <w:sz w:val="18"/>
              </w:rPr>
            </w:r>
            <w:r>
              <w:rPr>
                <w:sz w:val="18"/>
              </w:rPr>
              <w:t>Precision</w:t>
            </w:r>
          </w:p>
        </w:tc>
        <w:tc>
          <w:tcPr>
            <w:tcW w:type="dxa" w:w="4706"/>
          </w:tcPr>
          <w:p>
            <w:pPr>
              <w:spacing w:after="40"/>
            </w:pPr>
            <w:r>
              <w:rPr>
                <w:sz w:val="18"/>
              </w:rPr>
            </w:r>
            <w:r>
              <w:rPr>
                <w:sz w:val="18"/>
              </w:rPr>
              <w:t>0.64</w:t>
            </w:r>
          </w:p>
        </w:tc>
      </w:tr>
      <w:tr>
        <w:tc>
          <w:tcPr>
            <w:tcW w:type="dxa" w:w="4706"/>
          </w:tcPr>
          <w:p>
            <w:pPr>
              <w:spacing w:after="40"/>
            </w:pPr>
            <w:r>
              <w:rPr>
                <w:sz w:val="18"/>
              </w:rPr>
            </w:r>
            <w:r>
              <w:rPr>
                <w:sz w:val="18"/>
              </w:rPr>
              <w:t>Trivial baseline recall</w:t>
            </w:r>
          </w:p>
        </w:tc>
        <w:tc>
          <w:tcPr>
            <w:tcW w:type="dxa" w:w="4706"/>
          </w:tcPr>
          <w:p>
            <w:pPr>
              <w:spacing w:after="40"/>
            </w:pPr>
            <w:r>
              <w:rPr>
                <w:sz w:val="18"/>
              </w:rPr>
            </w:r>
            <w:r>
              <w:rPr>
                <w:sz w:val="18"/>
              </w:rPr>
              <w:t>0.09 (base rate)</w:t>
            </w:r>
          </w:p>
        </w:tc>
      </w:tr>
      <w:tr>
        <w:tc>
          <w:tcPr>
            <w:tcW w:type="dxa" w:w="4706"/>
          </w:tcPr>
          <w:p>
            <w:pPr>
              <w:spacing w:after="40"/>
            </w:pPr>
            <w:r>
              <w:rPr>
                <w:sz w:val="18"/>
              </w:rPr>
            </w:r>
            <w:r>
              <w:rPr>
                <w:sz w:val="18"/>
              </w:rPr>
              <w:t>Business threshold agreed beforehand</w:t>
            </w:r>
          </w:p>
        </w:tc>
        <w:tc>
          <w:tcPr>
            <w:tcW w:type="dxa" w:w="4706"/>
          </w:tcPr>
          <w:p>
            <w:pPr>
              <w:spacing w:after="40"/>
            </w:pPr>
            <w:r>
              <w:rPr>
                <w:sz w:val="18"/>
              </w:rPr>
            </w:r>
            <w:r>
              <w:rPr>
                <w:sz w:val="18"/>
              </w:rPr>
              <w:t>recall ≥ 0.60</w:t>
            </w:r>
          </w:p>
        </w:tc>
      </w:tr>
    </w:tbl>
    <w:p>
      <w:pPr>
        <w:spacing w:after="40"/>
      </w:pPr>
    </w:p>
    <w:p>
      <w:pPr>
        <w:pStyle w:val="Heading1"/>
      </w:pPr>
      <w:r>
        <w:t>2. Baseline first</w:t>
      </w:r>
    </w:p>
    <w:tbl>
      <w:tblPr>
        <w:tblStyle w:val="TableGrid"/>
        <w:tblW w:type="auto" w:w="0"/>
        <w:tblLook w:firstColumn="1" w:firstRow="1" w:lastColumn="0" w:lastRow="0" w:noHBand="0" w:noVBand="1" w:val="04A0"/>
      </w:tblPr>
      <w:tblGrid>
        <w:gridCol w:w="3137"/>
        <w:gridCol w:w="3137"/>
        <w:gridCol w:w="3137"/>
      </w:tblGrid>
      <w:tr>
        <w:trPr>
          <w:tblHeader w:val="true"/>
        </w:trPr>
        <w:tc>
          <w:tcPr>
            <w:tcW w:type="dxa" w:w="3137"/>
            <w:shd w:val="clear" w:color="auto" w:fill="F1EAFE"/>
          </w:tcPr>
          <w:p>
            <w:pPr>
              <w:spacing w:after="40"/>
            </w:pPr>
            <w:r>
              <w:rPr>
                <w:b/>
                <w:sz w:val="18"/>
              </w:rPr>
            </w:r>
            <w:r>
              <w:rPr>
                <w:b/>
                <w:sz w:val="18"/>
              </w:rPr>
              <w:t>Approach</w:t>
            </w:r>
          </w:p>
        </w:tc>
        <w:tc>
          <w:tcPr>
            <w:tcW w:type="dxa" w:w="3137"/>
            <w:shd w:val="clear" w:color="auto" w:fill="F1EAFE"/>
          </w:tcPr>
          <w:p>
            <w:pPr>
              <w:spacing w:after="40"/>
            </w:pPr>
            <w:r>
              <w:rPr>
                <w:b/>
                <w:sz w:val="18"/>
              </w:rPr>
            </w:r>
            <w:r>
              <w:rPr>
                <w:b/>
                <w:sz w:val="18"/>
              </w:rPr>
              <w:t>Recall</w:t>
            </w:r>
          </w:p>
        </w:tc>
        <w:tc>
          <w:tcPr>
            <w:tcW w:type="dxa" w:w="3137"/>
            <w:shd w:val="clear" w:color="auto" w:fill="F1EAFE"/>
          </w:tcPr>
          <w:p>
            <w:pPr>
              <w:spacing w:after="40"/>
            </w:pPr>
            <w:r>
              <w:rPr>
                <w:b/>
                <w:sz w:val="18"/>
              </w:rPr>
            </w:r>
            <w:r>
              <w:rPr>
                <w:b/>
                <w:sz w:val="18"/>
              </w:rPr>
              <w:t>Precision</w:t>
            </w:r>
          </w:p>
        </w:tc>
      </w:tr>
      <w:tr>
        <w:tc>
          <w:tcPr>
            <w:tcW w:type="dxa" w:w="3137"/>
          </w:tcPr>
          <w:p>
            <w:pPr>
              <w:spacing w:after="40"/>
            </w:pPr>
            <w:r>
              <w:rPr>
                <w:sz w:val="18"/>
              </w:rPr>
            </w:r>
            <w:r>
              <w:rPr>
                <w:sz w:val="18"/>
              </w:rPr>
              <w:t>Always predict "on time"</w:t>
            </w:r>
          </w:p>
        </w:tc>
        <w:tc>
          <w:tcPr>
            <w:tcW w:type="dxa" w:w="3137"/>
          </w:tcPr>
          <w:p>
            <w:pPr>
              <w:spacing w:after="40"/>
            </w:pPr>
            <w:r>
              <w:rPr>
                <w:sz w:val="18"/>
              </w:rPr>
            </w:r>
            <w:r>
              <w:rPr>
                <w:sz w:val="18"/>
              </w:rPr>
              <w:t>0.00</w:t>
            </w:r>
          </w:p>
        </w:tc>
        <w:tc>
          <w:tcPr>
            <w:tcW w:type="dxa" w:w="3137"/>
          </w:tcPr>
          <w:p>
            <w:pPr>
              <w:spacing w:after="40"/>
            </w:pPr>
            <w:r>
              <w:rPr>
                <w:sz w:val="18"/>
              </w:rPr>
            </w:r>
          </w:p>
        </w:tc>
      </w:tr>
      <w:tr>
        <w:tc>
          <w:tcPr>
            <w:tcW w:type="dxa" w:w="3137"/>
          </w:tcPr>
          <w:p>
            <w:pPr>
              <w:spacing w:after="40"/>
            </w:pPr>
            <w:r>
              <w:rPr>
                <w:sz w:val="18"/>
              </w:rPr>
            </w:r>
            <w:r>
              <w:rPr>
                <w:sz w:val="18"/>
              </w:rPr>
              <w:t>Existing rule (no scan in 18h)</w:t>
            </w:r>
          </w:p>
        </w:tc>
        <w:tc>
          <w:tcPr>
            <w:tcW w:type="dxa" w:w="3137"/>
          </w:tcPr>
          <w:p>
            <w:pPr>
              <w:spacing w:after="40"/>
            </w:pPr>
            <w:r>
              <w:rPr>
                <w:sz w:val="18"/>
              </w:rPr>
            </w:r>
            <w:r>
              <w:rPr>
                <w:sz w:val="18"/>
              </w:rPr>
              <w:t>0.44</w:t>
            </w:r>
          </w:p>
        </w:tc>
        <w:tc>
          <w:tcPr>
            <w:tcW w:type="dxa" w:w="3137"/>
          </w:tcPr>
          <w:p>
            <w:pPr>
              <w:spacing w:after="40"/>
            </w:pPr>
            <w:r>
              <w:rPr>
                <w:sz w:val="18"/>
              </w:rPr>
            </w:r>
            <w:r>
              <w:rPr>
                <w:sz w:val="18"/>
              </w:rPr>
              <w:t>0.51</w:t>
            </w:r>
          </w:p>
        </w:tc>
      </w:tr>
      <w:tr>
        <w:tc>
          <w:tcPr>
            <w:tcW w:type="dxa" w:w="3137"/>
          </w:tcPr>
          <w:p>
            <w:pPr>
              <w:spacing w:after="40"/>
            </w:pPr>
            <w:r>
              <w:rPr>
                <w:sz w:val="18"/>
              </w:rPr>
            </w:r>
            <w:r>
              <w:rPr>
                <w:b/>
                <w:sz w:val="18"/>
              </w:rPr>
              <w:t>This model</w:t>
            </w:r>
          </w:p>
        </w:tc>
        <w:tc>
          <w:tcPr>
            <w:tcW w:type="dxa" w:w="3137"/>
          </w:tcPr>
          <w:p>
            <w:pPr>
              <w:spacing w:after="40"/>
            </w:pPr>
            <w:r>
              <w:rPr>
                <w:sz w:val="18"/>
              </w:rPr>
            </w:r>
            <w:r>
              <w:rPr>
                <w:b/>
                <w:sz w:val="18"/>
              </w:rPr>
              <w:t>0.71</w:t>
            </w:r>
          </w:p>
        </w:tc>
        <w:tc>
          <w:tcPr>
            <w:tcW w:type="dxa" w:w="3137"/>
          </w:tcPr>
          <w:p>
            <w:pPr>
              <w:spacing w:after="40"/>
            </w:pPr>
            <w:r>
              <w:rPr>
                <w:sz w:val="18"/>
              </w:rPr>
            </w:r>
            <w:r>
              <w:rPr>
                <w:b/>
                <w:sz w:val="18"/>
              </w:rPr>
              <w:t>0.64</w:t>
            </w:r>
          </w:p>
        </w:tc>
      </w:tr>
    </w:tbl>
    <w:p>
      <w:pPr>
        <w:spacing w:after="40"/>
      </w:pPr>
    </w:p>
    <w:p>
      <w:r>
        <w:t>The existing rule is the honest comparison, not the do-nothing baseline. The model finds roughly 27 percentage points more of the delays that occur, at better precision.</w:t>
      </w:r>
    </w:p>
    <w:p>
      <w:pPr>
        <w:pStyle w:val="Heading1"/>
      </w:pPr>
      <w:r>
        <w:t>3. Method</w:t>
      </w:r>
    </w:p>
    <w:p>
      <w:pPr>
        <w:pStyle w:val="ListBullet"/>
      </w:pPr>
      <w:r>
        <w:rPr>
          <w:b/>
        </w:rPr>
        <w:t>Split:</w:t>
      </w:r>
      <w:r>
        <w:t xml:space="preserve"> by time. Trained to 31 March, validated April, tested May onwards</w:t>
      </w:r>
    </w:p>
    <w:p>
      <w:pPr>
        <w:pStyle w:val="ListBullet"/>
      </w:pPr>
      <w:r>
        <w:rPr>
          <w:b/>
        </w:rPr>
        <w:t>Test set used once</w:t>
      </w:r>
      <w:r>
        <w:t>, at the end</w:t>
      </w:r>
    </w:p>
    <w:p>
      <w:pPr>
        <w:pStyle w:val="ListBullet"/>
      </w:pPr>
      <w:r>
        <w:rPr>
          <w:b/>
        </w:rPr>
        <w:t>Features</w:t>
      </w:r>
      <w:r>
        <w:t xml:space="preserve"> verified answerable as of the prediction timestamp</w:t>
      </w:r>
    </w:p>
    <w:p>
      <w:pPr>
        <w:pStyle w:val="ListBullet"/>
      </w:pPr>
      <w:r>
        <w:t>Leakage review completed; two features removed (both populated after delivery)</w:t>
      </w:r>
    </w:p>
    <w:p>
      <w:pPr>
        <w:pStyle w:val="ListBullet"/>
      </w:pPr>
      <w:r>
        <w:t>Results reproducible from a clean run; seed and library versions pinned</w:t>
      </w:r>
    </w:p>
    <w:p>
      <w:pPr>
        <w:pStyle w:val="Heading1"/>
      </w:pPr>
      <w:r>
        <w:t>4. Performance by segment</w:t>
      </w:r>
    </w:p>
    <w:p>
      <w:r>
        <w:t>Aggregate figures hide the thing that matters.</w:t>
      </w:r>
    </w:p>
    <w:tbl>
      <w:tblPr>
        <w:tblStyle w:val="TableGrid"/>
        <w:tblW w:type="auto" w:w="0"/>
        <w:tblLook w:firstColumn="1" w:firstRow="1" w:lastColumn="0" w:lastRow="0" w:noHBand="0" w:noVBand="1" w:val="04A0"/>
      </w:tblPr>
      <w:tblGrid>
        <w:gridCol w:w="2353"/>
        <w:gridCol w:w="2353"/>
        <w:gridCol w:w="2353"/>
        <w:gridCol w:w="2353"/>
      </w:tblGrid>
      <w:tr>
        <w:trPr>
          <w:tblHeader w:val="true"/>
        </w:trPr>
        <w:tc>
          <w:tcPr>
            <w:tcW w:type="dxa" w:w="2353"/>
            <w:shd w:val="clear" w:color="auto" w:fill="F1EAFE"/>
          </w:tcPr>
          <w:p>
            <w:pPr>
              <w:spacing w:after="40"/>
            </w:pPr>
            <w:r>
              <w:rPr>
                <w:b/>
                <w:sz w:val="18"/>
              </w:rPr>
            </w:r>
            <w:r>
              <w:rPr>
                <w:b/>
                <w:sz w:val="18"/>
              </w:rPr>
              <w:t>Segment</w:t>
            </w:r>
          </w:p>
        </w:tc>
        <w:tc>
          <w:tcPr>
            <w:tcW w:type="dxa" w:w="2353"/>
            <w:shd w:val="clear" w:color="auto" w:fill="F1EAFE"/>
          </w:tcPr>
          <w:p>
            <w:pPr>
              <w:spacing w:after="40"/>
            </w:pPr>
            <w:r>
              <w:rPr>
                <w:b/>
                <w:sz w:val="18"/>
              </w:rPr>
            </w:r>
            <w:r>
              <w:rPr>
                <w:b/>
                <w:sz w:val="18"/>
              </w:rPr>
              <w:t>Volume share</w:t>
            </w:r>
          </w:p>
        </w:tc>
        <w:tc>
          <w:tcPr>
            <w:tcW w:type="dxa" w:w="2353"/>
            <w:shd w:val="clear" w:color="auto" w:fill="F1EAFE"/>
          </w:tcPr>
          <w:p>
            <w:pPr>
              <w:spacing w:after="40"/>
            </w:pPr>
            <w:r>
              <w:rPr>
                <w:b/>
                <w:sz w:val="18"/>
              </w:rPr>
            </w:r>
            <w:r>
              <w:rPr>
                <w:b/>
                <w:sz w:val="18"/>
              </w:rPr>
              <w:t>Recall</w:t>
            </w:r>
          </w:p>
        </w:tc>
        <w:tc>
          <w:tcPr>
            <w:tcW w:type="dxa" w:w="2353"/>
            <w:shd w:val="clear" w:color="auto" w:fill="F1EAFE"/>
          </w:tcPr>
          <w:p>
            <w:pPr>
              <w:spacing w:after="40"/>
            </w:pPr>
            <w:r>
              <w:rPr>
                <w:b/>
                <w:sz w:val="18"/>
              </w:rPr>
            </w:r>
            <w:r>
              <w:rPr>
                <w:b/>
                <w:sz w:val="18"/>
              </w:rPr>
              <w:t>Note</w:t>
            </w:r>
          </w:p>
        </w:tc>
      </w:tr>
      <w:tr>
        <w:tc>
          <w:tcPr>
            <w:tcW w:type="dxa" w:w="2353"/>
          </w:tcPr>
          <w:p>
            <w:pPr>
              <w:spacing w:after="40"/>
            </w:pPr>
            <w:r>
              <w:rPr>
                <w:sz w:val="18"/>
              </w:rPr>
            </w:r>
            <w:r>
              <w:rPr>
                <w:sz w:val="18"/>
              </w:rPr>
              <w:t>Standard domestic</w:t>
            </w:r>
          </w:p>
        </w:tc>
        <w:tc>
          <w:tcPr>
            <w:tcW w:type="dxa" w:w="2353"/>
          </w:tcPr>
          <w:p>
            <w:pPr>
              <w:spacing w:after="40"/>
            </w:pPr>
            <w:r>
              <w:rPr>
                <w:sz w:val="18"/>
              </w:rPr>
            </w:r>
            <w:r>
              <w:rPr>
                <w:sz w:val="18"/>
              </w:rPr>
              <w:t>68%</w:t>
            </w:r>
          </w:p>
        </w:tc>
        <w:tc>
          <w:tcPr>
            <w:tcW w:type="dxa" w:w="2353"/>
          </w:tcPr>
          <w:p>
            <w:pPr>
              <w:spacing w:after="40"/>
            </w:pPr>
            <w:r>
              <w:rPr>
                <w:sz w:val="18"/>
              </w:rPr>
            </w:r>
            <w:r>
              <w:rPr>
                <w:sz w:val="18"/>
              </w:rPr>
              <w:t>0.78</w:t>
            </w:r>
          </w:p>
        </w:tc>
        <w:tc>
          <w:tcPr>
            <w:tcW w:type="dxa" w:w="2353"/>
          </w:tcPr>
          <w:p>
            <w:pPr>
              <w:spacing w:after="40"/>
            </w:pPr>
            <w:r>
              <w:rPr>
                <w:sz w:val="18"/>
              </w:rPr>
            </w:r>
            <w:r>
              <w:rPr>
                <w:sz w:val="18"/>
              </w:rPr>
              <w:t>strongest</w:t>
            </w:r>
          </w:p>
        </w:tc>
      </w:tr>
      <w:tr>
        <w:tc>
          <w:tcPr>
            <w:tcW w:type="dxa" w:w="2353"/>
          </w:tcPr>
          <w:p>
            <w:pPr>
              <w:spacing w:after="40"/>
            </w:pPr>
            <w:r>
              <w:rPr>
                <w:sz w:val="18"/>
              </w:rPr>
            </w:r>
            <w:r>
              <w:rPr>
                <w:sz w:val="18"/>
              </w:rPr>
              <w:t>Next-day domestic</w:t>
            </w:r>
          </w:p>
        </w:tc>
        <w:tc>
          <w:tcPr>
            <w:tcW w:type="dxa" w:w="2353"/>
          </w:tcPr>
          <w:p>
            <w:pPr>
              <w:spacing w:after="40"/>
            </w:pPr>
            <w:r>
              <w:rPr>
                <w:sz w:val="18"/>
              </w:rPr>
            </w:r>
            <w:r>
              <w:rPr>
                <w:sz w:val="18"/>
              </w:rPr>
              <w:t>14%</w:t>
            </w:r>
          </w:p>
        </w:tc>
        <w:tc>
          <w:tcPr>
            <w:tcW w:type="dxa" w:w="2353"/>
          </w:tcPr>
          <w:p>
            <w:pPr>
              <w:spacing w:after="40"/>
            </w:pPr>
            <w:r>
              <w:rPr>
                <w:sz w:val="18"/>
              </w:rPr>
            </w:r>
            <w:r>
              <w:rPr>
                <w:sz w:val="18"/>
              </w:rPr>
              <w:t>0.69</w:t>
            </w:r>
          </w:p>
        </w:tc>
        <w:tc>
          <w:tcPr>
            <w:tcW w:type="dxa" w:w="2353"/>
          </w:tcPr>
          <w:p>
            <w:pPr>
              <w:spacing w:after="40"/>
            </w:pPr>
            <w:r>
              <w:rPr>
                <w:sz w:val="18"/>
              </w:rPr>
            </w:r>
          </w:p>
        </w:tc>
      </w:tr>
      <w:tr>
        <w:tc>
          <w:tcPr>
            <w:tcW w:type="dxa" w:w="2353"/>
          </w:tcPr>
          <w:p>
            <w:pPr>
              <w:spacing w:after="40"/>
            </w:pPr>
            <w:r>
              <w:rPr>
                <w:sz w:val="18"/>
              </w:rPr>
            </w:r>
            <w:r>
              <w:rPr>
                <w:sz w:val="18"/>
              </w:rPr>
              <w:t>International</w:t>
            </w:r>
          </w:p>
        </w:tc>
        <w:tc>
          <w:tcPr>
            <w:tcW w:type="dxa" w:w="2353"/>
          </w:tcPr>
          <w:p>
            <w:pPr>
              <w:spacing w:after="40"/>
            </w:pPr>
            <w:r>
              <w:rPr>
                <w:sz w:val="18"/>
              </w:rPr>
            </w:r>
            <w:r>
              <w:rPr>
                <w:sz w:val="18"/>
              </w:rPr>
              <w:t>11%</w:t>
            </w:r>
          </w:p>
        </w:tc>
        <w:tc>
          <w:tcPr>
            <w:tcW w:type="dxa" w:w="2353"/>
          </w:tcPr>
          <w:p>
            <w:pPr>
              <w:spacing w:after="40"/>
            </w:pPr>
            <w:r>
              <w:rPr>
                <w:sz w:val="18"/>
              </w:rPr>
            </w:r>
            <w:r>
              <w:rPr>
                <w:b/>
                <w:sz w:val="18"/>
              </w:rPr>
              <w:t>0.41</w:t>
            </w:r>
          </w:p>
        </w:tc>
        <w:tc>
          <w:tcPr>
            <w:tcW w:type="dxa" w:w="2353"/>
          </w:tcPr>
          <w:p>
            <w:pPr>
              <w:spacing w:after="40"/>
            </w:pPr>
            <w:r>
              <w:rPr>
                <w:sz w:val="18"/>
              </w:rPr>
            </w:r>
            <w:r>
              <w:rPr>
                <w:sz w:val="18"/>
              </w:rPr>
              <w:t>weak</w:t>
            </w:r>
          </w:p>
        </w:tc>
      </w:tr>
      <w:tr>
        <w:tc>
          <w:tcPr>
            <w:tcW w:type="dxa" w:w="2353"/>
          </w:tcPr>
          <w:p>
            <w:pPr>
              <w:spacing w:after="40"/>
            </w:pPr>
            <w:r>
              <w:rPr>
                <w:sz w:val="18"/>
              </w:rPr>
            </w:r>
            <w:r>
              <w:rPr>
                <w:sz w:val="18"/>
              </w:rPr>
              <w:t>Bulk / palletised</w:t>
            </w:r>
          </w:p>
        </w:tc>
        <w:tc>
          <w:tcPr>
            <w:tcW w:type="dxa" w:w="2353"/>
          </w:tcPr>
          <w:p>
            <w:pPr>
              <w:spacing w:after="40"/>
            </w:pPr>
            <w:r>
              <w:rPr>
                <w:sz w:val="18"/>
              </w:rPr>
            </w:r>
            <w:r>
              <w:rPr>
                <w:sz w:val="18"/>
              </w:rPr>
              <w:t>5%</w:t>
            </w:r>
          </w:p>
        </w:tc>
        <w:tc>
          <w:tcPr>
            <w:tcW w:type="dxa" w:w="2353"/>
          </w:tcPr>
          <w:p>
            <w:pPr>
              <w:spacing w:after="40"/>
            </w:pPr>
            <w:r>
              <w:rPr>
                <w:sz w:val="18"/>
              </w:rPr>
            </w:r>
            <w:r>
              <w:rPr>
                <w:b/>
                <w:sz w:val="18"/>
              </w:rPr>
              <w:t>0.33</w:t>
            </w:r>
          </w:p>
        </w:tc>
        <w:tc>
          <w:tcPr>
            <w:tcW w:type="dxa" w:w="2353"/>
          </w:tcPr>
          <w:p>
            <w:pPr>
              <w:spacing w:after="40"/>
            </w:pPr>
            <w:r>
              <w:rPr>
                <w:sz w:val="18"/>
              </w:rPr>
            </w:r>
            <w:r>
              <w:rPr>
                <w:sz w:val="18"/>
              </w:rPr>
              <w:t>very weak</w:t>
            </w:r>
          </w:p>
        </w:tc>
      </w:tr>
      <w:tr>
        <w:tc>
          <w:tcPr>
            <w:tcW w:type="dxa" w:w="2353"/>
          </w:tcPr>
          <w:p>
            <w:pPr>
              <w:spacing w:after="40"/>
            </w:pPr>
            <w:r>
              <w:rPr>
                <w:sz w:val="18"/>
              </w:rPr>
            </w:r>
            <w:r>
              <w:rPr>
                <w:sz w:val="18"/>
              </w:rPr>
              <w:t>New customers (&lt;30 days)</w:t>
            </w:r>
          </w:p>
        </w:tc>
        <w:tc>
          <w:tcPr>
            <w:tcW w:type="dxa" w:w="2353"/>
          </w:tcPr>
          <w:p>
            <w:pPr>
              <w:spacing w:after="40"/>
            </w:pPr>
            <w:r>
              <w:rPr>
                <w:sz w:val="18"/>
              </w:rPr>
            </w:r>
            <w:r>
              <w:rPr>
                <w:sz w:val="18"/>
              </w:rPr>
              <w:t>2%</w:t>
            </w:r>
          </w:p>
        </w:tc>
        <w:tc>
          <w:tcPr>
            <w:tcW w:type="dxa" w:w="2353"/>
          </w:tcPr>
          <w:p>
            <w:pPr>
              <w:spacing w:after="40"/>
            </w:pPr>
            <w:r>
              <w:rPr>
                <w:sz w:val="18"/>
              </w:rPr>
            </w:r>
            <w:r>
              <w:rPr>
                <w:sz w:val="18"/>
              </w:rPr>
              <w:t>0.38</w:t>
            </w:r>
          </w:p>
        </w:tc>
        <w:tc>
          <w:tcPr>
            <w:tcW w:type="dxa" w:w="2353"/>
          </w:tcPr>
          <w:p>
            <w:pPr>
              <w:spacing w:after="40"/>
            </w:pPr>
            <w:r>
              <w:rPr>
                <w:sz w:val="18"/>
              </w:rPr>
            </w:r>
            <w:r>
              <w:rPr>
                <w:sz w:val="18"/>
              </w:rPr>
              <w:t>little history</w:t>
            </w:r>
          </w:p>
        </w:tc>
      </w:tr>
    </w:tbl>
    <w:p>
      <w:pPr>
        <w:spacing w:after="40"/>
      </w:pPr>
    </w:p>
    <w:p>
      <w:r>
        <w:t>The model is substantially worse on international and bulk shipments, under half the delays found, and those are the consignments where a delay costs most.</w:t>
      </w:r>
    </w:p>
    <w:p>
      <w:r>
        <w:t>This is the finding that shaped the recommendation.</w:t>
      </w:r>
    </w:p>
    <w:p>
      <w:pPr>
        <w:pStyle w:val="Heading1"/>
      </w:pPr>
      <w:r>
        <w:t>5. Failure analysis</w:t>
      </w:r>
    </w:p>
    <w:p>
      <w:r>
        <w:rPr>
          <w:b/>
        </w:rPr>
        <w:t>Where it fails:</w:t>
      </w:r>
      <w:r>
        <w:t xml:space="preserve"> consignments with sparse tracking history. The model leans on scan-event frequency, and carriers on international and bulk routes scan less often. Absence of a scan means "late" domestically and "normal" internationally, and the model has not learned that distinction well.</w:t>
      </w:r>
    </w:p>
    <w:p>
      <w:r>
        <w:rPr>
          <w:b/>
        </w:rPr>
        <w:t>How it fails:</w:t>
      </w:r>
      <w:r>
        <w:t xml:space="preserve"> silently and confidently. A missed prediction is indistinguishable from a correct "on time" call.</w:t>
      </w:r>
    </w:p>
    <w:p>
      <w:r>
        <w:rPr>
          <w:b/>
        </w:rPr>
        <w:t>Why this rules out customer notification:</w:t>
      </w:r>
      <w:r>
        <w:t xml:space="preserve"> telling a customer their delivery is late when it is not, at 0.64 precision, means roughly one in three notifications is wrong. For the internal queue that is acceptable: an operator checks. For a customer message it is not.</w:t>
      </w:r>
    </w:p>
    <w:p>
      <w:pPr>
        <w:pStyle w:val="Heading1"/>
      </w:pPr>
      <w:r>
        <w:t>6. Limitations</w:t>
      </w:r>
    </w:p>
    <w:p>
      <w:pPr>
        <w:pStyle w:val="ListBullet"/>
      </w:pPr>
      <w:r>
        <w:t>Trained on 14 months. No full peak season in the training window; December behaviour is unproven</w:t>
      </w:r>
    </w:p>
    <w:p>
      <w:pPr>
        <w:pStyle w:val="ListBullet"/>
      </w:pPr>
      <w:r>
        <w:t>Two carriers added in April are under-represented</w:t>
      </w:r>
    </w:p>
    <w:p>
      <w:pPr>
        <w:pStyle w:val="ListBullet"/>
      </w:pPr>
      <w:r>
        <w:t>Assumes current scan-event frequency; a carrier changing its scanning practice degrades this</w:t>
      </w:r>
    </w:p>
    <w:p>
      <w:r>
        <w:t>silently</w:t>
      </w:r>
    </w:p>
    <w:p>
      <w:pPr>
        <w:pStyle w:val="ListBullet"/>
      </w:pPr>
      <w:r>
        <w:t>Not evaluated for fairness across customer segments, not obviously relevant here, not checked</w:t>
      </w:r>
    </w:p>
    <w:p>
      <w:pPr>
        <w:pStyle w:val="Heading1"/>
      </w:pPr>
      <w:r>
        <w:t>7. Cost and latency</w:t>
      </w:r>
    </w:p>
    <w:tbl>
      <w:tblPr>
        <w:tblStyle w:val="TableGrid"/>
        <w:tblW w:type="auto" w:w="0"/>
        <w:tblLook w:firstColumn="1" w:firstRow="1" w:lastColumn="0" w:lastRow="0" w:noHBand="0" w:noVBand="1" w:val="04A0"/>
      </w:tblPr>
      <w:tblGrid>
        <w:gridCol w:w="4706"/>
        <w:gridCol w:w="4706"/>
      </w:tblGrid>
      <w:tr>
        <w:trPr>
          <w:tblHeader w:val="true"/>
        </w:trPr>
        <w:tc>
          <w:tcPr>
            <w:tcW w:type="dxa" w:w="4706"/>
            <w:shd w:val="clear" w:color="auto" w:fill="F1EAFE"/>
          </w:tcPr>
          <w:p>
            <w:pPr>
              <w:spacing w:after="40"/>
            </w:pPr>
            <w:r>
              <w:rPr>
                <w:b/>
                <w:sz w:val="18"/>
              </w:rPr>
            </w:r>
            <w:r>
              <w:rPr>
                <w:b/>
                <w:sz w:val="18"/>
              </w:rPr>
              <w:t>Inference cost</w:t>
            </w:r>
          </w:p>
        </w:tc>
        <w:tc>
          <w:tcPr>
            <w:tcW w:type="dxa" w:w="4706"/>
            <w:shd w:val="clear" w:color="auto" w:fill="F1EAFE"/>
          </w:tcPr>
          <w:p>
            <w:pPr>
              <w:spacing w:after="40"/>
            </w:pPr>
            <w:r>
              <w:rPr>
                <w:b/>
                <w:sz w:val="18"/>
              </w:rPr>
            </w:r>
            <w:r>
              <w:rPr>
                <w:b/>
                <w:sz w:val="18"/>
              </w:rPr>
              <w:t>£0.0004 per prediction</w:t>
            </w:r>
          </w:p>
        </w:tc>
      </w:tr>
      <w:tr>
        <w:tc>
          <w:tcPr>
            <w:tcW w:type="dxa" w:w="4706"/>
          </w:tcPr>
          <w:p>
            <w:pPr>
              <w:spacing w:after="40"/>
            </w:pPr>
            <w:r>
              <w:rPr>
                <w:sz w:val="18"/>
              </w:rPr>
            </w:r>
            <w:r>
              <w:rPr>
                <w:sz w:val="18"/>
              </w:rPr>
              <w:t>At current volume</w:t>
            </w:r>
          </w:p>
        </w:tc>
        <w:tc>
          <w:tcPr>
            <w:tcW w:type="dxa" w:w="4706"/>
          </w:tcPr>
          <w:p>
            <w:pPr>
              <w:spacing w:after="40"/>
            </w:pPr>
            <w:r>
              <w:rPr>
                <w:sz w:val="18"/>
              </w:rPr>
            </w:r>
            <w:r>
              <w:rPr>
                <w:sz w:val="18"/>
              </w:rPr>
              <w:t>~£118/month</w:t>
            </w:r>
          </w:p>
        </w:tc>
      </w:tr>
      <w:tr>
        <w:tc>
          <w:tcPr>
            <w:tcW w:type="dxa" w:w="4706"/>
          </w:tcPr>
          <w:p>
            <w:pPr>
              <w:spacing w:after="40"/>
            </w:pPr>
            <w:r>
              <w:rPr>
                <w:sz w:val="18"/>
              </w:rPr>
            </w:r>
            <w:r>
              <w:rPr>
                <w:sz w:val="18"/>
              </w:rPr>
              <w:t>p95 latency</w:t>
            </w:r>
          </w:p>
        </w:tc>
        <w:tc>
          <w:tcPr>
            <w:tcW w:type="dxa" w:w="4706"/>
          </w:tcPr>
          <w:p>
            <w:pPr>
              <w:spacing w:after="40"/>
            </w:pPr>
            <w:r>
              <w:rPr>
                <w:sz w:val="18"/>
              </w:rPr>
            </w:r>
            <w:r>
              <w:rPr>
                <w:sz w:val="18"/>
              </w:rPr>
              <w:t>240 ms</w:t>
            </w:r>
          </w:p>
        </w:tc>
      </w:tr>
      <w:tr>
        <w:tc>
          <w:tcPr>
            <w:tcW w:type="dxa" w:w="4706"/>
          </w:tcPr>
          <w:p>
            <w:pPr>
              <w:spacing w:after="40"/>
            </w:pPr>
            <w:r>
              <w:rPr>
                <w:sz w:val="18"/>
              </w:rPr>
            </w:r>
            <w:r>
              <w:rPr>
                <w:sz w:val="18"/>
              </w:rPr>
              <w:t>Retraining</w:t>
            </w:r>
          </w:p>
        </w:tc>
        <w:tc>
          <w:tcPr>
            <w:tcW w:type="dxa" w:w="4706"/>
          </w:tcPr>
          <w:p>
            <w:pPr>
              <w:spacing w:after="40"/>
            </w:pPr>
            <w:r>
              <w:rPr>
                <w:sz w:val="18"/>
              </w:rPr>
            </w:r>
            <w:r>
              <w:rPr>
                <w:sz w:val="18"/>
              </w:rPr>
              <w:t>~4 hours, monthly</w:t>
            </w:r>
          </w:p>
        </w:tc>
      </w:tr>
    </w:tbl>
    <w:p>
      <w:pPr>
        <w:spacing w:after="40"/>
      </w:pPr>
    </w:p>
    <w:p>
      <w:pPr>
        <w:pStyle w:val="Heading1"/>
      </w:pPr>
      <w:r>
        <w:t>8. Conditions of approval</w:t>
      </w:r>
    </w:p>
    <w:p>
      <w:pPr>
        <w:pStyle w:val="ListNumber"/>
      </w:pPr>
      <w:r>
        <w:t xml:space="preserve">Used to </w:t>
      </w:r>
      <w:r>
        <w:rPr>
          <w:b/>
        </w:rPr>
        <w:t>rank</w:t>
      </w:r>
      <w:r>
        <w:t xml:space="preserve"> the operations queue, never to notify customers automatically</w:t>
      </w:r>
    </w:p>
    <w:p>
      <w:pPr>
        <w:pStyle w:val="ListNumber"/>
      </w:pPr>
      <w:r>
        <w:t>International and bulk consignments flagged as low-confidence in the interface</w:t>
      </w:r>
    </w:p>
    <w:p>
      <w:pPr>
        <w:pStyle w:val="ListNumber"/>
      </w:pPr>
      <w:r>
        <w:t xml:space="preserve">Outcome capture in place </w:t>
      </w:r>
      <w:r>
        <w:rPr>
          <w:b/>
        </w:rPr>
        <w:t>before</w:t>
      </w:r>
      <w:r>
        <w:t xml:space="preserve"> go-live, so production accuracy is measurable</w:t>
      </w:r>
    </w:p>
    <w:p>
      <w:pPr>
        <w:pStyle w:val="ListNumber"/>
      </w:pPr>
      <w:r>
        <w:t>Alert if weekly recall falls below 0.60</w:t>
      </w:r>
    </w:p>
    <w:p>
      <w:pPr>
        <w:pStyle w:val="ListNumber"/>
      </w:pPr>
      <w:r>
        <w:t>Reviewed after the first December, before which peak behaviour is unknown</w:t>
      </w:r>
    </w:p>
    <w:p>
      <w:pPr>
        <w:pStyle w:val="Heading1"/>
      </w:pPr>
      <w:r>
        <w:t>9. What would change this recommendation</w:t>
      </w:r>
    </w:p>
    <w:p>
      <w:r>
        <w:t>Better recall on international and bulk: most likely from carrier scan data rather than from model changes. If that data becomes available, re-evaluate; the current ceiling is a data limitation, not a modelling one.</w:t>
      </w:r>
    </w:p>
    <w:p>
      <w:r>
        <w:t>---</w:t>
      </w:r>
    </w:p>
    <w:p>
      <w:r>
        <w:rPr>
          <w:b/>
        </w:rPr>
        <w:t>Why this report is shaped this way.</w:t>
      </w:r>
      <w:r>
        <w:t xml:space="preserve"> It leads with the baseline, reports by segment rather than in aggregate, states where and how the model fails, and makes a recommendation with named conditions. A report that gives a single accuracy figure and a recommendation invites approval without any of the information that should qualify it.</w:t>
      </w:r>
    </w:p>
    <w:p>
      <w:r>
        <w:t xml:space="preserve">See </w:t>
      </w:r>
      <w:r>
        <w:rPr>
          <w:color w:val="7C3AED"/>
          <w:u w:val="single"/>
        </w:rPr>
        <w:t>machine learning</w:t>
      </w:r>
      <w:r>
        <w:rPr>
          <w:sz w:val="17"/>
        </w:rPr>
        <w:t xml:space="preserve"> (bvlogic.com/knowledge/machine-learning/)</w:t>
      </w:r>
      <w:r>
        <w:t xml:space="preserve"> and the </w:t>
      </w:r>
      <w:r>
        <w:rPr>
          <w:color w:val="7C3AED"/>
          <w:u w:val="single"/>
        </w:rPr>
        <w:t>model review checklist</w:t>
      </w:r>
      <w:r>
        <w:rPr>
          <w:sz w:val="17"/>
        </w:rPr>
        <w:t xml:space="preserve"> (bvlogic.com/knowledge/machine-learning/checklist/)</w:t>
      </w:r>
      <w:r>
        <w:t>.</w:t>
      </w:r>
    </w:p>
    <w:p/>
    <w:p>
      <w:pPr>
        <w:pBdr>
          <w:bottom w:val="single" w:sz="4" w:space="4" w:color="7C3AED"/>
        </w:pBdr>
      </w:pPr>
    </w:p>
    <w:p>
      <w:r>
        <w:rPr>
          <w:b/>
          <w:color w:val="5B6471"/>
          <w:sz w:val="18"/>
        </w:rPr>
        <w:t>Notice</w:t>
      </w:r>
    </w:p>
    <w:p>
      <w:r>
        <w:rPr>
          <w:color w:val="5B6471"/>
          <w:sz w:val="17"/>
        </w:rPr>
        <w:t>This document is published by BvLogic as general reference material. It is provided for information only and is not professional, financial, legal or tax advice, and no liability is accepted for decisions taken on the basis of it. Figures in worked examples are illustrative unless a source is cited. Verify anything time-sensitive against the live version at bvlogic.com before relying on it.</w:t>
      </w:r>
    </w:p>
    <w:sectPr w:rsidR="00FC693F" w:rsidRPr="0006063C" w:rsidSect="00034616">
      <w:headerReference w:type="default" r:id="rId10"/>
      <w:footerReference w:type="default" r:id="rId11"/>
      <w:pgSz w:w="11906" w:h="16838"/>
      <w:pgMar w:top="1417" w:right="1247" w:bottom="1417" w:left="1247" w:header="680" w:footer="68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color w:val="5B6471"/>
        <w:sz w:val="16"/>
      </w:rPr>
      <w:t xml:space="preserve">Page </w:t>
    </w:r>
    <w:r>
      <w:fldChar w:fldCharType="begin"/>
    </w:r>
    <w:r>
      <w:instrText xml:space="preserve"> PAGE </w:instrText>
    </w:r>
    <w:r>
      <w:fldChar w:fldCharType="separate"/>
    </w:r>
    <w:r>
      <w:fldChar w:fldCharType="end"/>
    </w:r>
    <w:r>
      <w:rPr>
        <w:color w:val="5B6471"/>
        <w:sz w:val="16"/>
      </w:rPr>
      <w:t xml:space="preserve"> of </w:t>
    </w:r>
    <w:r>
      <w:fldChar w:fldCharType="begin"/>
    </w:r>
    <w:r>
      <w:instrText xml:space="preserve"> NUMPAGES </w:instrText>
    </w:r>
    <w:r>
      <w:fldChar w:fldCharType="separate"/>
    </w:r>
    <w:r>
      <w:fldChar w:fldCharType="end"/>
    </w:r>
    <w:r>
      <w:rPr>
        <w:color w:val="5B6471"/>
        <w:sz w:val="16"/>
      </w:rPr>
      <w:t xml:space="preserve">    |    bvlogic.com    |    (c) 2026 BvLogic</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p>
    <w:pPr>
      <w:spacing w:after="0"/>
    </w:pPr>
    <w: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shapetype>
        <v:shape id="BvLogicWatermark" o:spid="_x0000_s2049" type="#_x0000_t136" style="position:absolute;margin-left:0;margin-top:0;width:440pt;height:150pt;             rotation:315;z-index:-251658752;mso-position-horizontal:center;             mso-position-horizontal-relative:margin;mso-position-vertical:center;             mso-position-vertical-relative:margin" o:allowincell="f" fillcolor="#D9D9D9" stroked="f">
          <v:fill opacity="0.55"/>
          <v:textpath style="font-family:&quot;Georgia&quot;;font-weight:bold;v-text-kern:t" trim="t" fitpath="t" string="BvLogic"/>
        </v:shape>
      </w:pic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Bdr>
        <w:bottom w:val="single" w:sz="4" w:space="4" w:color="7C3AED"/>
      </w:pBdr>
    </w:pPr>
    <w:r/>
    <w:r>
      <w:rPr>
        <w:color w:val="5B6471"/>
        <w:sz w:val="16"/>
      </w:rPr>
      <w:t>BvLogic  |  Model Evaluation Report: Sample</w:t>
    </w:r>
    <w:r>
      <w:tab/>
      <w:tab/>
    </w:r>
    <w:r>
      <w:rPr>
        <w:color w:val="5B6471"/>
        <w:sz w:val="16"/>
      </w:rPr>
      <w:t>Public</w:t>
    </w:r>
  </w:p>
  <w:p>
    <w:pPr>
      <w:spacing w:after="0"/>
    </w:pPr>
    <w: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shapetype>
        <v:shape id="BvLogicWatermark" o:spid="_x0000_s2049" type="#_x0000_t136" style="position:absolute;margin-left:0;margin-top:0;width:440pt;height:150pt;             rotation:315;z-index:-251658752;mso-position-horizontal:center;             mso-position-horizontal-relative:margin;mso-position-vertical:center;             mso-position-vertical-relative:margin" o:allowincell="f" fillcolor="#D9D9D9" stroked="f">
          <v:fill opacity="0.55"/>
          <v:textpath style="font-family:&quot;Georgia&quot;;font-weight:bold;v-text-kern:t" trim="t" fitpath="t" string="BvLogic"/>
        </v:shape>
      </w:pic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76" w:lineRule="auto"/>
    </w:pPr>
    <w:rPr>
      <w:rFonts w:ascii="Calibri" w:hAnsi="Calibri"/>
      <w:color w:val="0F141A"/>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80" w:after="80"/>
      <w:outlineLvl w:val="0"/>
    </w:pPr>
    <w:rPr>
      <w:rFonts w:asciiTheme="majorHAnsi" w:eastAsiaTheme="majorEastAsia" w:hAnsiTheme="majorHAnsi" w:cstheme="majorBidi" w:ascii="Georgia" w:hAnsi="Georgia"/>
      <w:b/>
      <w:bCs/>
      <w:color w:val="7C3AED"/>
      <w:sz w:val="36"/>
      <w:szCs w:val="28"/>
    </w:rPr>
  </w:style>
  <w:style w:type="paragraph" w:styleId="Heading2">
    <w:name w:val="heading 2"/>
    <w:basedOn w:val="Normal"/>
    <w:next w:val="Normal"/>
    <w:link w:val="Heading2Char"/>
    <w:uiPriority w:val="9"/>
    <w:unhideWhenUsed/>
    <w:qFormat/>
    <w:rsid w:val="00FC693F"/>
    <w:pPr>
      <w:keepNext/>
      <w:keepLines/>
      <w:spacing w:before="280" w:after="80"/>
      <w:outlineLvl w:val="1"/>
    </w:pPr>
    <w:rPr>
      <w:rFonts w:asciiTheme="majorHAnsi" w:eastAsiaTheme="majorEastAsia" w:hAnsiTheme="majorHAnsi" w:cstheme="majorBidi" w:ascii="Georgia" w:hAnsi="Georgia"/>
      <w:b/>
      <w:bCs/>
      <w:color w:val="7C3AED"/>
      <w:sz w:val="28"/>
      <w:szCs w:val="26"/>
    </w:rPr>
  </w:style>
  <w:style w:type="paragraph" w:styleId="Heading3">
    <w:name w:val="heading 3"/>
    <w:basedOn w:val="Normal"/>
    <w:next w:val="Normal"/>
    <w:link w:val="Heading3Char"/>
    <w:uiPriority w:val="9"/>
    <w:unhideWhenUsed/>
    <w:qFormat/>
    <w:rsid w:val="00FC693F"/>
    <w:pPr>
      <w:keepNext/>
      <w:keepLines/>
      <w:spacing w:before="200" w:after="80"/>
      <w:outlineLvl w:val="2"/>
    </w:pPr>
    <w:rPr>
      <w:rFonts w:asciiTheme="majorHAnsi" w:eastAsiaTheme="majorEastAsia" w:hAnsiTheme="majorHAnsi" w:cstheme="majorBidi" w:ascii="Georgia" w:hAnsi="Georgia"/>
      <w:b/>
      <w:bCs/>
      <w:color w:val="0F141A"/>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header" Target="header2.xml"/><Relationship Id="rId1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 Evaluation Report: Sample</dc:title>
  <dc:subject/>
  <dc:creator>BvLogic</dc:creator>
  <cp:keywords>BvLogic, Report, enterprise AI, Model Evaluation Report: Sample</cp:keywords>
  <dc:description/>
  <cp:lastModifiedBy/>
  <cp:revision>1</cp:revision>
  <dcterms:created xsi:type="dcterms:W3CDTF">2013-12-23T23:15:00Z</dcterms:created>
  <dcterms:modified xsi:type="dcterms:W3CDTF">2013-12-23T23:15:00Z</dcterms:modified>
  <cp:category>Report</cp:category>
  <dc:language>en-GB</dc:language>
</cp:coreProperties>
</file>