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LLM Selection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BVL-3E5A33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The top models now sit within a tenth of a point of each other on the headline benchmark, while price spans a thousand-fold range.</w:t>
      </w:r>
    </w:p>
    <w:p>
      <w:pPr>
        <w:pStyle w:val="ListBullet"/>
      </w:pPr>
      <w:r>
        <w:t>Performance on real business tasks varies far less than price does.</w:t>
      </w:r>
    </w:p>
    <w:p>
      <w:pPr>
        <w:pStyle w:val="ListBullet"/>
      </w:pPr>
      <w:r>
        <w:t>The useful question is not which model is best, it is which is the cheapest model that passes your own evaluation set.</w:t>
      </w:r>
    </w:p>
    <w:p>
      <w:pPr>
        <w:pStyle w:val="Heading1"/>
      </w:pPr>
      <w:r>
        <w:t>Who this lands with</w:t>
      </w:r>
    </w:p>
    <w:p>
      <w:r>
        <w:t>Teams choosing a model for a production workload</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https://bvlogic.com/research/llm-benchmark/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https://bvlogic.com/research/llm-benchmark/</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LLM Selection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LLM Selection Report — sales brief</dc:title>
  <dc:subject/>
  <dc:creator>BvLogic</dc:creator>
  <cp:keywords>BvLogic, Brief, enterprise AI, LLM Selection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