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Linux Server Build Record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BVL-05D2D8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One per production host. The value of this page is not the hardening list, it is that six</w:t>
      </w:r>
    </w:p>
    <w:p>
      <w:pPr>
        <w:ind w:left="454"/>
        <w:shd w:val="clear" w:color="auto" w:fill="FAFAFB"/>
      </w:pPr>
      <w:r>
        <w:rPr>
          <w:i/>
        </w:rPr>
        <w:t>months from now, someone can answer "why is this configured like this, and who owns it"</w:t>
      </w:r>
    </w:p>
    <w:p>
      <w:pPr>
        <w:ind w:left="454"/>
        <w:shd w:val="clear" w:color="auto" w:fill="FAFAFB"/>
      </w:pPr>
      <w:r>
        <w:rPr>
          <w:i/>
        </w:rPr>
        <w:t>without guessing.</w:t>
      </w:r>
    </w:p>
    <w:p>
      <w:r>
        <w:rPr>
          <w:b/>
        </w:rPr>
        <w:t>Hostname:</w:t>
      </w:r>
      <w:r>
        <w:t xml:space="preserve"> _______________  </w:t>
      </w:r>
      <w:r>
        <w:rPr>
          <w:b/>
        </w:rPr>
        <w:t>Purpose:</w:t>
      </w:r>
      <w:r>
        <w:t xml:space="preserve"> _______________ </w:t>
      </w:r>
      <w:r>
        <w:rPr>
          <w:b/>
        </w:rPr>
        <w:t>Owner (person):</w:t>
      </w:r>
      <w:r>
        <w:t xml:space="preserve"> _______________  </w:t>
      </w:r>
      <w:r>
        <w:rPr>
          <w:b/>
        </w:rPr>
        <w:t>Date built:</w:t>
      </w:r>
      <w:r>
        <w:t xml:space="preserve"> _______ </w:t>
      </w:r>
      <w:r>
        <w:rPr>
          <w:b/>
        </w:rPr>
        <w:t>Environment:</w:t>
      </w:r>
      <w:r>
        <w:t xml:space="preserve"> dev / staging / prod  </w:t>
      </w:r>
      <w:r>
        <w:rPr>
          <w:b/>
        </w:rPr>
        <w:t>Physical / VM / cloud:</w:t>
      </w:r>
      <w:r>
        <w:t xml:space="preserve"> _______</w:t>
      </w:r>
    </w:p>
    <w:p>
      <w:pPr>
        <w:pStyle w:val="Heading1"/>
      </w:pPr>
      <w:r>
        <w:t>1. Base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Distribution and version</w:t>
            </w:r>
          </w:p>
        </w:tc>
        <w:tc>
          <w:tcPr>
            <w:tcW w:type="dxa" w:w="4706"/>
            <w:shd w:val="clear" w:color="auto" w:fill="F1EAFE"/>
          </w:tcPr>
          <w:p>
            <w:pPr>
              <w:spacing w:after="40"/>
            </w:pPr>
            <w:r>
              <w:rPr>
                <w:b/>
                <w:sz w:val="18"/>
              </w:rPr>
            </w:r>
          </w:p>
        </w:tc>
      </w:tr>
      <w:tr>
        <w:tc>
          <w:tcPr>
            <w:tcW w:type="dxa" w:w="4706"/>
          </w:tcPr>
          <w:p>
            <w:pPr>
              <w:spacing w:after="40"/>
            </w:pPr>
            <w:r>
              <w:rPr>
                <w:sz w:val="18"/>
              </w:rPr>
            </w:r>
            <w:r>
              <w:rPr>
                <w:b/>
                <w:sz w:val="18"/>
              </w:rPr>
              <w:t>Supported until</w:t>
            </w:r>
          </w:p>
        </w:tc>
        <w:tc>
          <w:tcPr>
            <w:tcW w:type="dxa" w:w="4706"/>
          </w:tcPr>
          <w:p>
            <w:pPr>
              <w:spacing w:after="40"/>
            </w:pPr>
            <w:r>
              <w:rPr>
                <w:sz w:val="18"/>
              </w:rPr>
            </w:r>
          </w:p>
        </w:tc>
      </w:tr>
      <w:tr>
        <w:tc>
          <w:tcPr>
            <w:tcW w:type="dxa" w:w="4706"/>
          </w:tcPr>
          <w:p>
            <w:pPr>
              <w:spacing w:after="40"/>
            </w:pPr>
            <w:r>
              <w:rPr>
                <w:sz w:val="18"/>
              </w:rPr>
            </w:r>
            <w:r>
              <w:rPr>
                <w:sz w:val="18"/>
              </w:rPr>
              <w:t>Kernel</w:t>
            </w:r>
          </w:p>
        </w:tc>
        <w:tc>
          <w:tcPr>
            <w:tcW w:type="dxa" w:w="4706"/>
          </w:tcPr>
          <w:p>
            <w:pPr>
              <w:spacing w:after="40"/>
            </w:pPr>
            <w:r>
              <w:rPr>
                <w:sz w:val="18"/>
              </w:rPr>
            </w:r>
          </w:p>
        </w:tc>
      </w:tr>
      <w:tr>
        <w:tc>
          <w:tcPr>
            <w:tcW w:type="dxa" w:w="4706"/>
          </w:tcPr>
          <w:p>
            <w:pPr>
              <w:spacing w:after="40"/>
            </w:pPr>
            <w:r>
              <w:rPr>
                <w:sz w:val="18"/>
              </w:rPr>
            </w:r>
            <w:r>
              <w:rPr>
                <w:sz w:val="18"/>
              </w:rPr>
              <w:t>Built from image / script / by hand</w:t>
            </w:r>
          </w:p>
        </w:tc>
        <w:tc>
          <w:tcPr>
            <w:tcW w:type="dxa" w:w="4706"/>
          </w:tcPr>
          <w:p>
            <w:pPr>
              <w:spacing w:after="40"/>
            </w:pPr>
            <w:r>
              <w:rPr>
                <w:sz w:val="18"/>
              </w:rPr>
            </w:r>
          </w:p>
        </w:tc>
      </w:tr>
      <w:tr>
        <w:tc>
          <w:tcPr>
            <w:tcW w:type="dxa" w:w="4706"/>
          </w:tcPr>
          <w:p>
            <w:pPr>
              <w:spacing w:after="40"/>
            </w:pPr>
            <w:r>
              <w:rPr>
                <w:sz w:val="18"/>
              </w:rPr>
            </w:r>
            <w:r>
              <w:rPr>
                <w:sz w:val="18"/>
              </w:rPr>
              <w:t>Rebuildable from scratch without this host</w:t>
            </w:r>
          </w:p>
        </w:tc>
        <w:tc>
          <w:tcPr>
            <w:tcW w:type="dxa" w:w="4706"/>
          </w:tcPr>
          <w:p>
            <w:pPr>
              <w:spacing w:after="40"/>
            </w:pPr>
            <w:r>
              <w:rPr>
                <w:sz w:val="18"/>
              </w:rPr>
            </w:r>
            <w:r>
              <w:rPr>
                <w:sz w:val="18"/>
              </w:rPr>
              <w:t>yes / no</w:t>
            </w:r>
          </w:p>
        </w:tc>
      </w:tr>
    </w:tbl>
    <w:p>
      <w:pPr>
        <w:spacing w:after="40"/>
      </w:pPr>
    </w:p>
    <w:p>
      <w:r>
        <w:t>The "supported until" date is the row people leave blank and regret. A host on an end-of-life distribution receives no security updates, and migrating it is always urgent by the time anyone notices.</w:t>
      </w:r>
    </w:p>
    <w:p>
      <w:r>
        <w:rPr>
          <w:b/>
        </w:rPr>
        <w:t>If this host were lost entirely, how is it rebuilt, and how long would it take?</w:t>
      </w:r>
      <w:r>
        <w:t xml:space="preserve"> _______________</w:t>
      </w:r>
    </w:p>
    <w:p>
      <w:pPr>
        <w:pStyle w:val="Heading1"/>
      </w:pPr>
      <w:r>
        <w:t>2. Access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SSH: password authentication disabled</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SSH: root login disabled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Key type in use</w:t>
            </w:r>
          </w:p>
        </w:tc>
        <w:tc>
          <w:tcPr>
            <w:tcW w:type="dxa" w:w="4706"/>
          </w:tcPr>
          <w:p>
            <w:pPr>
              <w:spacing w:after="40"/>
            </w:pPr>
            <w:r>
              <w:rPr>
                <w:sz w:val="18"/>
              </w:rPr>
            </w:r>
          </w:p>
        </w:tc>
      </w:tr>
      <w:tr>
        <w:tc>
          <w:tcPr>
            <w:tcW w:type="dxa" w:w="4706"/>
          </w:tcPr>
          <w:p>
            <w:pPr>
              <w:spacing w:after="40"/>
            </w:pPr>
            <w:r>
              <w:rPr>
                <w:sz w:val="18"/>
              </w:rPr>
            </w:r>
            <w:r>
              <w:rPr>
                <w:b/>
                <w:sz w:val="18"/>
              </w:rPr>
              <w:t>Who holds keys (named individuals)</w:t>
            </w:r>
          </w:p>
        </w:tc>
        <w:tc>
          <w:tcPr>
            <w:tcW w:type="dxa" w:w="4706"/>
          </w:tcPr>
          <w:p>
            <w:pPr>
              <w:spacing w:after="40"/>
            </w:pPr>
            <w:r>
              <w:rPr>
                <w:sz w:val="18"/>
              </w:rPr>
            </w:r>
          </w:p>
        </w:tc>
      </w:tr>
      <w:tr>
        <w:tc>
          <w:tcPr>
            <w:tcW w:type="dxa" w:w="4706"/>
          </w:tcPr>
          <w:p>
            <w:pPr>
              <w:spacing w:after="40"/>
            </w:pPr>
            <w:r>
              <w:rPr>
                <w:sz w:val="18"/>
              </w:rPr>
            </w:r>
            <w:r>
              <w:rPr>
                <w:sz w:val="18"/>
              </w:rPr>
              <w:t>Port</w:t>
            </w:r>
          </w:p>
        </w:tc>
        <w:tc>
          <w:tcPr>
            <w:tcW w:type="dxa" w:w="4706"/>
          </w:tcPr>
          <w:p>
            <w:pPr>
              <w:spacing w:after="40"/>
            </w:pPr>
            <w:r>
              <w:rPr>
                <w:sz w:val="18"/>
              </w:rPr>
            </w:r>
          </w:p>
        </w:tc>
      </w:tr>
      <w:tr>
        <w:tc>
          <w:tcPr>
            <w:tcW w:type="dxa" w:w="4706"/>
          </w:tcPr>
          <w:p>
            <w:pPr>
              <w:spacing w:after="40"/>
            </w:pPr>
            <w:r>
              <w:rPr>
                <w:sz w:val="18"/>
              </w:rPr>
            </w:r>
            <w:r>
              <w:rPr>
                <w:sz w:val="18"/>
              </w:rPr>
              <w:t>SSH exposed to the internet</w:t>
            </w:r>
          </w:p>
        </w:tc>
        <w:tc>
          <w:tcPr>
            <w:tcW w:type="dxa" w:w="4706"/>
          </w:tcPr>
          <w:p>
            <w:pPr>
              <w:spacing w:after="40"/>
            </w:pPr>
            <w:r>
              <w:rPr>
                <w:sz w:val="18"/>
              </w:rPr>
            </w:r>
            <w:r>
              <w:rPr>
                <w:sz w:val="18"/>
              </w:rPr>
              <w:t>yes / no, restricted to</w:t>
            </w:r>
          </w:p>
        </w:tc>
      </w:tr>
      <w:tr>
        <w:tc>
          <w:tcPr>
            <w:tcW w:type="dxa" w:w="4706"/>
          </w:tcPr>
          <w:p>
            <w:pPr>
              <w:spacing w:after="40"/>
            </w:pPr>
            <w:r>
              <w:rPr>
                <w:sz w:val="18"/>
              </w:rPr>
            </w:r>
            <w:r>
              <w:rPr>
                <w:sz w:val="18"/>
              </w:rPr>
              <w:t>MFA / bastion in front</w:t>
            </w:r>
          </w:p>
        </w:tc>
        <w:tc>
          <w:tcPr>
            <w:tcW w:type="dxa" w:w="4706"/>
          </w:tcPr>
          <w:p>
            <w:pPr>
              <w:spacing w:after="40"/>
            </w:pPr>
            <w:r>
              <w:rPr>
                <w:sz w:val="18"/>
              </w:rPr>
            </w:r>
          </w:p>
        </w:tc>
      </w:tr>
    </w:tbl>
    <w:p>
      <w:pPr>
        <w:spacing w:after="40"/>
      </w:pPr>
    </w:p>
    <w:p>
      <w:r>
        <w:rPr>
          <w:b/>
        </w:rPr>
        <w:t>Break-glass access:</w:t>
      </w:r>
      <w:r>
        <w:t xml:space="preserve"> _______________ (A second key held by a second person on a different machine, or a documented console path. One key held by one person is a single point of failure that costs nothing to fix today and cannot be fixed on the day it matters.)</w:t>
      </w:r>
    </w:p>
    <w:p>
      <w:pPr>
        <w:pStyle w:val="Heading1"/>
      </w:pPr>
      <w:r>
        <w:t>3. Accounts and privilege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Account</w:t>
            </w:r>
          </w:p>
        </w:tc>
        <w:tc>
          <w:tcPr>
            <w:tcW w:type="dxa" w:w="2353"/>
            <w:shd w:val="clear" w:color="auto" w:fill="F1EAFE"/>
          </w:tcPr>
          <w:p>
            <w:pPr>
              <w:spacing w:after="40"/>
            </w:pPr>
            <w:r>
              <w:rPr>
                <w:b/>
                <w:sz w:val="18"/>
              </w:rPr>
            </w:r>
            <w:r>
              <w:rPr>
                <w:b/>
                <w:sz w:val="18"/>
              </w:rPr>
              <w:t>Human / service</w:t>
            </w:r>
          </w:p>
        </w:tc>
        <w:tc>
          <w:tcPr>
            <w:tcW w:type="dxa" w:w="2353"/>
            <w:shd w:val="clear" w:color="auto" w:fill="F1EAFE"/>
          </w:tcPr>
          <w:p>
            <w:pPr>
              <w:spacing w:after="40"/>
            </w:pPr>
            <w:r>
              <w:rPr>
                <w:b/>
                <w:sz w:val="18"/>
              </w:rPr>
            </w:r>
            <w:r>
              <w:rPr>
                <w:b/>
                <w:sz w:val="18"/>
              </w:rPr>
              <w:t>sudo</w:t>
            </w:r>
          </w:p>
        </w:tc>
        <w:tc>
          <w:tcPr>
            <w:tcW w:type="dxa" w:w="2353"/>
            <w:shd w:val="clear" w:color="auto" w:fill="F1EAFE"/>
          </w:tcPr>
          <w:p>
            <w:pPr>
              <w:spacing w:after="40"/>
            </w:pPr>
            <w:r>
              <w:rPr>
                <w:b/>
                <w:sz w:val="18"/>
              </w:rPr>
            </w:r>
            <w:r>
              <w:rPr>
                <w:b/>
                <w:sz w:val="18"/>
              </w:rPr>
              <w:t>Purpose</w:t>
            </w:r>
          </w:p>
        </w:tc>
      </w:tr>
    </w:tbl>
    <w:p>
      <w:pPr>
        <w:spacing w:after="40"/>
      </w:pPr>
    </w:p>
    <w:p>
      <w:pPr>
        <w:pStyle w:val="ListBullet"/>
      </w:pPr>
      <w:r>
        <w:t>[ ] No shared logins</w:t>
      </w:r>
    </w:p>
    <w:p>
      <w:pPr>
        <w:pStyle w:val="ListBullet"/>
      </w:pPr>
      <w:r>
        <w:t>[ ] Service accounts have no interactive shell</w:t>
      </w:r>
    </w:p>
    <w:p>
      <w:pPr>
        <w:pStyle w:val="ListBullet"/>
      </w:pPr>
      <w:r>
        <w:t>[ ] sudo access is specific rather than blanket, where practical</w:t>
      </w:r>
    </w:p>
    <w:p>
      <w:pPr>
        <w:pStyle w:val="ListBullet"/>
      </w:pPr>
      <w:r>
        <w:t>[ ] Removal process exists for when a person leaves</w:t>
      </w:r>
    </w:p>
    <w:p>
      <w:pPr>
        <w:pStyle w:val="Heading1"/>
      </w:pPr>
      <w:r>
        <w:t>4. Patching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Who applies security updates</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How often</w:t>
            </w:r>
          </w:p>
        </w:tc>
        <w:tc>
          <w:tcPr>
            <w:tcW w:type="dxa" w:w="4706"/>
          </w:tcPr>
          <w:p>
            <w:pPr>
              <w:spacing w:after="40"/>
            </w:pPr>
            <w:r>
              <w:rPr>
                <w:sz w:val="18"/>
              </w:rPr>
            </w:r>
          </w:p>
        </w:tc>
      </w:tr>
      <w:tr>
        <w:tc>
          <w:tcPr>
            <w:tcW w:type="dxa" w:w="4706"/>
          </w:tcPr>
          <w:p>
            <w:pPr>
              <w:spacing w:after="40"/>
            </w:pPr>
            <w:r>
              <w:rPr>
                <w:sz w:val="18"/>
              </w:rPr>
            </w:r>
            <w:r>
              <w:rPr>
                <w:sz w:val="18"/>
              </w:rPr>
              <w:t>Unattended security upgrades enabled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Reboot policy for kernel updates</w:t>
            </w:r>
          </w:p>
        </w:tc>
        <w:tc>
          <w:tcPr>
            <w:tcW w:type="dxa" w:w="4706"/>
          </w:tcPr>
          <w:p>
            <w:pPr>
              <w:spacing w:after="40"/>
            </w:pPr>
            <w:r>
              <w:rPr>
                <w:sz w:val="18"/>
              </w:rPr>
            </w:r>
          </w:p>
        </w:tc>
      </w:tr>
      <w:tr>
        <w:tc>
          <w:tcPr>
            <w:tcW w:type="dxa" w:w="4706"/>
          </w:tcPr>
          <w:p>
            <w:pPr>
              <w:spacing w:after="40"/>
            </w:pPr>
            <w:r>
              <w:rPr>
                <w:sz w:val="18"/>
              </w:rPr>
            </w:r>
            <w:r>
              <w:rPr>
                <w:sz w:val="18"/>
              </w:rPr>
              <w:t>Last patched</w:t>
            </w:r>
          </w:p>
        </w:tc>
        <w:tc>
          <w:tcPr>
            <w:tcW w:type="dxa" w:w="4706"/>
          </w:tcPr>
          <w:p>
            <w:pPr>
              <w:spacing w:after="40"/>
            </w:pPr>
            <w:r>
              <w:rPr>
                <w:sz w:val="18"/>
              </w:rPr>
            </w:r>
          </w:p>
        </w:tc>
      </w:tr>
    </w:tbl>
    <w:p>
      <w:pPr>
        <w:spacing w:after="40"/>
      </w:pPr>
    </w:p>
    <w:p>
      <w:r>
        <w:t>Automated security patching with a defined reboot window is nearly always the right default. The common objection, "an update might break something", is real, and it is a smaller risk than running known-vulnerable, internet-facing packages for months.</w:t>
      </w:r>
    </w:p>
    <w:p>
      <w:pPr>
        <w:pStyle w:val="Heading1"/>
      </w:pPr>
      <w:r>
        <w:t>5. Network exposure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Port</w:t>
            </w:r>
          </w:p>
        </w:tc>
        <w:tc>
          <w:tcPr>
            <w:tcW w:type="dxa" w:w="1882"/>
            <w:shd w:val="clear" w:color="auto" w:fill="F1EAFE"/>
          </w:tcPr>
          <w:p>
            <w:pPr>
              <w:spacing w:after="40"/>
            </w:pPr>
            <w:r>
              <w:rPr>
                <w:b/>
                <w:sz w:val="18"/>
              </w:rPr>
            </w:r>
            <w:r>
              <w:rPr>
                <w:b/>
                <w:sz w:val="18"/>
              </w:rPr>
              <w:t>Service</w:t>
            </w:r>
          </w:p>
        </w:tc>
        <w:tc>
          <w:tcPr>
            <w:tcW w:type="dxa" w:w="1882"/>
            <w:shd w:val="clear" w:color="auto" w:fill="F1EAFE"/>
          </w:tcPr>
          <w:p>
            <w:pPr>
              <w:spacing w:after="40"/>
            </w:pPr>
            <w:r>
              <w:rPr>
                <w:b/>
                <w:sz w:val="18"/>
              </w:rPr>
            </w:r>
            <w:r>
              <w:rPr>
                <w:b/>
                <w:sz w:val="18"/>
              </w:rPr>
              <w:t>Bound to</w:t>
            </w:r>
          </w:p>
        </w:tc>
        <w:tc>
          <w:tcPr>
            <w:tcW w:type="dxa" w:w="1882"/>
            <w:shd w:val="clear" w:color="auto" w:fill="F1EAFE"/>
          </w:tcPr>
          <w:p>
            <w:pPr>
              <w:spacing w:after="40"/>
            </w:pPr>
            <w:r>
              <w:rPr>
                <w:b/>
                <w:sz w:val="18"/>
              </w:rPr>
            </w:r>
            <w:r>
              <w:rPr>
                <w:b/>
                <w:sz w:val="18"/>
              </w:rPr>
              <w:t>Reachable from</w:t>
            </w:r>
          </w:p>
        </w:tc>
        <w:tc>
          <w:tcPr>
            <w:tcW w:type="dxa" w:w="1882"/>
            <w:shd w:val="clear" w:color="auto" w:fill="F1EAFE"/>
          </w:tcPr>
          <w:p>
            <w:pPr>
              <w:spacing w:after="40"/>
            </w:pPr>
            <w:r>
              <w:rPr>
                <w:b/>
                <w:sz w:val="18"/>
              </w:rPr>
            </w:r>
            <w:r>
              <w:rPr>
                <w:b/>
                <w:sz w:val="18"/>
              </w:rPr>
              <w:t>Justified by</w:t>
            </w:r>
          </w:p>
        </w:tc>
      </w:tr>
    </w:tbl>
    <w:p>
      <w:pPr>
        <w:spacing w:after="40"/>
      </w:pPr>
    </w:p>
    <w:p>
      <w:pPr>
        <w:pStyle w:val="ListBullet"/>
      </w:pPr>
      <w:r>
        <w:t>[ ] Firewall enabled, default deny inbound</w:t>
      </w:r>
    </w:p>
    <w:p>
      <w:pPr>
        <w:pStyle w:val="ListBullet"/>
      </w:pPr>
      <w:r>
        <w:t>[ ] Every listening service either firewalled or deliberately exposed</w:t>
      </w:r>
    </w:p>
    <w:p>
      <w:pPr>
        <w:pStyle w:val="ListBullet"/>
      </w:pPr>
      <w:r>
        <w:t>[ ] Verified from outside, not only from the host itself</w:t>
      </w:r>
    </w:p>
    <w:p>
      <w:r>
        <w:rPr>
          <w:b/>
        </w:rPr>
        <w:t>Run `ss -tulpn` and reconcile it against this table.</w:t>
      </w:r>
      <w:r>
        <w:t xml:space="preserve"> Services that quietly bind to all interfaces (databases, caches, admin panels, test instances) are the classic finding, and they are usually found by someone else first.</w:t>
      </w:r>
    </w:p>
    <w:p>
      <w:pPr>
        <w:pStyle w:val="Heading1"/>
      </w:pPr>
      <w:r>
        <w:t>6. Time, logs and monitoring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Time synchronised (NTP source)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Logs shipped off-host to</w:t>
            </w:r>
          </w:p>
        </w:tc>
        <w:tc>
          <w:tcPr>
            <w:tcW w:type="dxa" w:w="4706"/>
          </w:tcPr>
          <w:p>
            <w:pPr>
              <w:spacing w:after="40"/>
            </w:pPr>
            <w:r>
              <w:rPr>
                <w:sz w:val="18"/>
              </w:rPr>
            </w:r>
          </w:p>
        </w:tc>
      </w:tr>
      <w:tr>
        <w:tc>
          <w:tcPr>
            <w:tcW w:type="dxa" w:w="4706"/>
          </w:tcPr>
          <w:p>
            <w:pPr>
              <w:spacing w:after="40"/>
            </w:pPr>
            <w:r>
              <w:rPr>
                <w:sz w:val="18"/>
              </w:rPr>
            </w:r>
            <w:r>
              <w:rPr>
                <w:sz w:val="18"/>
              </w:rPr>
              <w:t>Local log rotation configured</w:t>
            </w:r>
          </w:p>
        </w:tc>
        <w:tc>
          <w:tcPr>
            <w:tcW w:type="dxa" w:w="4706"/>
          </w:tcPr>
          <w:p>
            <w:pPr>
              <w:spacing w:after="40"/>
            </w:pPr>
            <w:r>
              <w:rPr>
                <w:sz w:val="18"/>
              </w:rPr>
            </w:r>
          </w:p>
        </w:tc>
      </w:tr>
      <w:tr>
        <w:tc>
          <w:tcPr>
            <w:tcW w:type="dxa" w:w="4706"/>
          </w:tcPr>
          <w:p>
            <w:pPr>
              <w:spacing w:after="40"/>
            </w:pPr>
            <w:r>
              <w:rPr>
                <w:sz w:val="18"/>
              </w:rPr>
            </w:r>
            <w:r>
              <w:rPr>
                <w:sz w:val="18"/>
              </w:rPr>
              <w:t>Disk usage alerting</w:t>
            </w:r>
          </w:p>
        </w:tc>
        <w:tc>
          <w:tcPr>
            <w:tcW w:type="dxa" w:w="4706"/>
          </w:tcPr>
          <w:p>
            <w:pPr>
              <w:spacing w:after="40"/>
            </w:pPr>
            <w:r>
              <w:rPr>
                <w:sz w:val="18"/>
              </w:rPr>
            </w:r>
          </w:p>
        </w:tc>
      </w:tr>
      <w:tr>
        <w:tc>
          <w:tcPr>
            <w:tcW w:type="dxa" w:w="4706"/>
          </w:tcPr>
          <w:p>
            <w:pPr>
              <w:spacing w:after="40"/>
            </w:pPr>
            <w:r>
              <w:rPr>
                <w:sz w:val="18"/>
              </w:rPr>
            </w:r>
            <w:r>
              <w:rPr>
                <w:sz w:val="18"/>
              </w:rPr>
              <w:t>Host reachability alerting</w:t>
            </w:r>
          </w:p>
        </w:tc>
        <w:tc>
          <w:tcPr>
            <w:tcW w:type="dxa" w:w="4706"/>
          </w:tcPr>
          <w:p>
            <w:pPr>
              <w:spacing w:after="40"/>
            </w:pPr>
            <w:r>
              <w:rPr>
                <w:sz w:val="18"/>
              </w:rPr>
            </w:r>
          </w:p>
        </w:tc>
      </w:tr>
      <w:tr>
        <w:tc>
          <w:tcPr>
            <w:tcW w:type="dxa" w:w="4706"/>
          </w:tcPr>
          <w:p>
            <w:pPr>
              <w:spacing w:after="40"/>
            </w:pPr>
            <w:r>
              <w:rPr>
                <w:sz w:val="18"/>
              </w:rPr>
            </w:r>
            <w:r>
              <w:rPr>
                <w:sz w:val="18"/>
              </w:rPr>
              <w:t>Who receives alerts</w:t>
            </w:r>
          </w:p>
        </w:tc>
        <w:tc>
          <w:tcPr>
            <w:tcW w:type="dxa" w:w="4706"/>
          </w:tcPr>
          <w:p>
            <w:pPr>
              <w:spacing w:after="40"/>
            </w:pPr>
            <w:r>
              <w:rPr>
                <w:sz w:val="18"/>
              </w:rPr>
            </w:r>
          </w:p>
        </w:tc>
      </w:tr>
    </w:tbl>
    <w:p>
      <w:pPr>
        <w:spacing w:after="40"/>
      </w:pPr>
    </w:p>
    <w:p>
      <w:r>
        <w:t>Logs that exist only on the host are lost in exactly the incidents where you need them. Clock drift makes correlating events across systems impossible, and it is invisible until it matters.</w:t>
      </w:r>
    </w:p>
    <w:p>
      <w:pPr>
        <w:pStyle w:val="Heading1"/>
      </w:pPr>
      <w:r>
        <w:t>7. Storage and backup</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Mount</w:t>
            </w:r>
          </w:p>
        </w:tc>
        <w:tc>
          <w:tcPr>
            <w:tcW w:type="dxa" w:w="1882"/>
            <w:shd w:val="clear" w:color="auto" w:fill="F1EAFE"/>
          </w:tcPr>
          <w:p>
            <w:pPr>
              <w:spacing w:after="40"/>
            </w:pPr>
            <w:r>
              <w:rPr>
                <w:b/>
                <w:sz w:val="18"/>
              </w:rPr>
            </w:r>
            <w:r>
              <w:rPr>
                <w:b/>
                <w:sz w:val="18"/>
              </w:rPr>
              <w:t>Size</w:t>
            </w:r>
          </w:p>
        </w:tc>
        <w:tc>
          <w:tcPr>
            <w:tcW w:type="dxa" w:w="1882"/>
            <w:shd w:val="clear" w:color="auto" w:fill="F1EAFE"/>
          </w:tcPr>
          <w:p>
            <w:pPr>
              <w:spacing w:after="40"/>
            </w:pPr>
            <w:r>
              <w:rPr>
                <w:b/>
                <w:sz w:val="18"/>
              </w:rPr>
            </w:r>
            <w:r>
              <w:rPr>
                <w:b/>
                <w:sz w:val="18"/>
              </w:rPr>
              <w:t>Purpose</w:t>
            </w:r>
          </w:p>
        </w:tc>
        <w:tc>
          <w:tcPr>
            <w:tcW w:type="dxa" w:w="1882"/>
            <w:shd w:val="clear" w:color="auto" w:fill="F1EAFE"/>
          </w:tcPr>
          <w:p>
            <w:pPr>
              <w:spacing w:after="40"/>
            </w:pPr>
            <w:r>
              <w:rPr>
                <w:b/>
                <w:sz w:val="18"/>
              </w:rPr>
            </w:r>
            <w:r>
              <w:rPr>
                <w:b/>
                <w:sz w:val="18"/>
              </w:rPr>
              <w:t>Backed up</w:t>
            </w:r>
          </w:p>
        </w:tc>
        <w:tc>
          <w:tcPr>
            <w:tcW w:type="dxa" w:w="1882"/>
            <w:shd w:val="clear" w:color="auto" w:fill="F1EAFE"/>
          </w:tcPr>
          <w:p>
            <w:pPr>
              <w:spacing w:after="40"/>
            </w:pPr>
            <w:r>
              <w:rPr>
                <w:b/>
                <w:sz w:val="18"/>
              </w:rPr>
            </w:r>
            <w:r>
              <w:rPr>
                <w:b/>
                <w:sz w:val="18"/>
              </w:rPr>
              <w:t>Retention</w:t>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What is backed up</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Where backups are stored (off-host?)</w:t>
            </w:r>
          </w:p>
        </w:tc>
        <w:tc>
          <w:tcPr>
            <w:tcW w:type="dxa" w:w="4706"/>
          </w:tcPr>
          <w:p>
            <w:pPr>
              <w:spacing w:after="40"/>
            </w:pPr>
            <w:r>
              <w:rPr>
                <w:sz w:val="18"/>
              </w:rPr>
            </w:r>
          </w:p>
        </w:tc>
      </w:tr>
      <w:tr>
        <w:tc>
          <w:tcPr>
            <w:tcW w:type="dxa" w:w="4706"/>
          </w:tcPr>
          <w:p>
            <w:pPr>
              <w:spacing w:after="40"/>
            </w:pPr>
            <w:r>
              <w:rPr>
                <w:sz w:val="18"/>
              </w:rPr>
            </w:r>
            <w:r>
              <w:rPr>
                <w:b/>
                <w:sz w:val="18"/>
              </w:rPr>
              <w:t>Restore tested on (date)</w:t>
            </w:r>
          </w:p>
        </w:tc>
        <w:tc>
          <w:tcPr>
            <w:tcW w:type="dxa" w:w="4706"/>
          </w:tcPr>
          <w:p>
            <w:pPr>
              <w:spacing w:after="40"/>
            </w:pPr>
            <w:r>
              <w:rPr>
                <w:sz w:val="18"/>
              </w:rPr>
            </w:r>
          </w:p>
        </w:tc>
      </w:tr>
      <w:tr>
        <w:tc>
          <w:tcPr>
            <w:tcW w:type="dxa" w:w="4706"/>
          </w:tcPr>
          <w:p>
            <w:pPr>
              <w:spacing w:after="40"/>
            </w:pPr>
            <w:r>
              <w:rPr>
                <w:sz w:val="18"/>
              </w:rPr>
            </w:r>
            <w:r>
              <w:rPr>
                <w:sz w:val="18"/>
              </w:rPr>
              <w:t>Time the restore took</w:t>
            </w:r>
          </w:p>
        </w:tc>
        <w:tc>
          <w:tcPr>
            <w:tcW w:type="dxa" w:w="4706"/>
          </w:tcPr>
          <w:p>
            <w:pPr>
              <w:spacing w:after="40"/>
            </w:pPr>
            <w:r>
              <w:rPr>
                <w:sz w:val="18"/>
              </w:rPr>
            </w:r>
          </w:p>
        </w:tc>
      </w:tr>
    </w:tbl>
    <w:p>
      <w:pPr>
        <w:spacing w:after="40"/>
      </w:pPr>
    </w:p>
    <w:p>
      <w:pPr>
        <w:pStyle w:val="Heading1"/>
      </w:pPr>
      <w:r>
        <w:t>8. Services running</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Service</w:t>
            </w:r>
          </w:p>
        </w:tc>
        <w:tc>
          <w:tcPr>
            <w:tcW w:type="dxa" w:w="2353"/>
            <w:shd w:val="clear" w:color="auto" w:fill="F1EAFE"/>
          </w:tcPr>
          <w:p>
            <w:pPr>
              <w:spacing w:after="40"/>
            </w:pPr>
            <w:r>
              <w:rPr>
                <w:b/>
                <w:sz w:val="18"/>
              </w:rPr>
            </w:r>
            <w:r>
              <w:rPr>
                <w:b/>
                <w:sz w:val="18"/>
              </w:rPr>
              <w:t>Starts at boot</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Runbook</w:t>
            </w:r>
          </w:p>
        </w:tc>
      </w:tr>
    </w:tbl>
    <w:p>
      <w:pPr>
        <w:spacing w:after="40"/>
      </w:pPr>
    </w:p>
    <w:p>
      <w:pPr>
        <w:pStyle w:val="ListBullet"/>
      </w:pPr>
      <w:r>
        <w:t>[ ] Nothing running that is not needed</w:t>
      </w:r>
    </w:p>
    <w:p>
      <w:pPr>
        <w:pStyle w:val="ListBullet"/>
      </w:pPr>
      <w:r>
        <w:t xml:space="preserve">[ ] Each service starts cleanly after a reboot, </w:t>
      </w:r>
      <w:r>
        <w:rPr>
          <w:b/>
        </w:rPr>
        <w:t>tested by actually rebooting</w:t>
      </w:r>
    </w:p>
    <w:p>
      <w:r>
        <w:t>A host that has not been rebooted since it was built has an untested boot path. The reboot you have not planned is the one that discovers a service was started by hand two years ago.</w:t>
      </w:r>
    </w:p>
    <w:p>
      <w:pPr>
        <w:pStyle w:val="Heading1"/>
      </w:pPr>
      <w:r>
        <w:t>9.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Handed to operations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Next review due</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Linux Server Build Record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Linux Server Build Record</dc:title>
  <dc:subject/>
  <dc:creator>BvLogic</dc:creator>
  <cp:keywords>BvLogic, Template, enterprise AI, Linux Server Build Record</cp:keywords>
  <dc:description/>
  <cp:lastModifiedBy/>
  <cp:revision>1</cp:revision>
  <dcterms:created xsi:type="dcterms:W3CDTF">2013-12-23T23:15:00Z</dcterms:created>
  <dcterms:modified xsi:type="dcterms:W3CDTF">2013-12-23T23:15:00Z</dcterms:modified>
  <cp:category>Template</cp:category>
  <dc:language>en-GB</dc:language>
</cp:coreProperties>
</file>