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REPORT</w:t>
      </w:r>
    </w:p>
    <w:p>
      <w:pPr>
        <w:spacing w:after="160"/>
      </w:pPr>
      <w:r>
        <w:rPr>
          <w:rFonts w:ascii="Georgia" w:hAnsi="Georgia"/>
          <w:b/>
          <w:color w:val="0F141A"/>
          <w:sz w:val="56"/>
        </w:rPr>
        <w:t>Server Estate Audit: Sample</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BVL-1D89B5</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Report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This is an illustrative example.</w:t>
      </w:r>
      <w:r>
        <w:t xml:space="preserve"> The estate and figures are invented to show the shape of an audit that produces a short ordered list. Copy the structure; run it against your own hosts.</w:t>
      </w:r>
    </w:p>
    <w:p>
      <w:r>
        <w:t>---</w:t>
      </w:r>
    </w:p>
    <w:p>
      <w:pPr>
        <w:pStyle w:val="Heading1"/>
      </w:pPr>
      <w:r>
        <w:t>Server estate audit: July 2026</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Hosts</w:t>
            </w:r>
          </w:p>
        </w:tc>
        <w:tc>
          <w:tcPr>
            <w:tcW w:type="dxa" w:w="4706"/>
            <w:shd w:val="clear" w:color="auto" w:fill="F1EAFE"/>
          </w:tcPr>
          <w:p>
            <w:pPr>
              <w:spacing w:after="40"/>
            </w:pPr>
            <w:r>
              <w:rPr>
                <w:b/>
                <w:sz w:val="18"/>
              </w:rPr>
            </w:r>
            <w:r>
              <w:rPr>
                <w:b/>
                <w:sz w:val="18"/>
              </w:rPr>
              <w:t>43</w:t>
            </w:r>
          </w:p>
        </w:tc>
      </w:tr>
      <w:tr>
        <w:tc>
          <w:tcPr>
            <w:tcW w:type="dxa" w:w="4706"/>
          </w:tcPr>
          <w:p>
            <w:pPr>
              <w:spacing w:after="40"/>
            </w:pPr>
            <w:r>
              <w:rPr>
                <w:sz w:val="18"/>
              </w:rPr>
            </w:r>
            <w:r>
              <w:rPr>
                <w:sz w:val="18"/>
              </w:rPr>
              <w:t>Method</w:t>
            </w:r>
          </w:p>
        </w:tc>
        <w:tc>
          <w:tcPr>
            <w:tcW w:type="dxa" w:w="4706"/>
          </w:tcPr>
          <w:p>
            <w:pPr>
              <w:spacing w:after="40"/>
            </w:pPr>
            <w:r>
              <w:rPr>
                <w:sz w:val="18"/>
              </w:rPr>
            </w:r>
            <w:r>
              <w:rPr>
                <w:sz w:val="18"/>
              </w:rPr>
              <w:t>Automated collection, then manual review of anything unexpected</w:t>
            </w:r>
          </w:p>
        </w:tc>
      </w:tr>
      <w:tr>
        <w:tc>
          <w:tcPr>
            <w:tcW w:type="dxa" w:w="4706"/>
          </w:tcPr>
          <w:p>
            <w:pPr>
              <w:spacing w:after="40"/>
            </w:pPr>
            <w:r>
              <w:rPr>
                <w:sz w:val="18"/>
              </w:rPr>
            </w:r>
            <w:r>
              <w:rPr>
                <w:sz w:val="18"/>
              </w:rPr>
              <w:t>Collected</w:t>
            </w:r>
          </w:p>
        </w:tc>
        <w:tc>
          <w:tcPr>
            <w:tcW w:type="dxa" w:w="4706"/>
          </w:tcPr>
          <w:p>
            <w:pPr>
              <w:spacing w:after="40"/>
            </w:pPr>
            <w:r>
              <w:rPr>
                <w:sz w:val="18"/>
              </w:rPr>
            </w:r>
            <w:r>
              <w:rPr>
                <w:sz w:val="18"/>
              </w:rPr>
              <w:t>Listening ports, accounts, sudo rules, patch state, disk, service inventory</w:t>
            </w:r>
          </w:p>
        </w:tc>
      </w:tr>
      <w:tr>
        <w:tc>
          <w:tcPr>
            <w:tcW w:type="dxa" w:w="4706"/>
          </w:tcPr>
          <w:p>
            <w:pPr>
              <w:spacing w:after="40"/>
            </w:pPr>
            <w:r>
              <w:rPr>
                <w:sz w:val="18"/>
              </w:rPr>
            </w:r>
            <w:r>
              <w:rPr>
                <w:sz w:val="18"/>
              </w:rPr>
              <w:t>Prepared for</w:t>
            </w:r>
          </w:p>
        </w:tc>
        <w:tc>
          <w:tcPr>
            <w:tcW w:type="dxa" w:w="4706"/>
          </w:tcPr>
          <w:p>
            <w:pPr>
              <w:spacing w:after="40"/>
            </w:pPr>
            <w:r>
              <w:rPr>
                <w:sz w:val="18"/>
              </w:rPr>
            </w:r>
            <w:r>
              <w:rPr>
                <w:sz w:val="18"/>
              </w:rPr>
              <w:t>Platform team</w:t>
            </w:r>
          </w:p>
        </w:tc>
      </w:tr>
    </w:tbl>
    <w:p>
      <w:pPr>
        <w:spacing w:after="40"/>
      </w:pPr>
    </w:p>
    <w:p>
      <w:pPr>
        <w:pStyle w:val="Heading1"/>
      </w:pPr>
      <w:r>
        <w:t>1. Summary</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Hosts</w:t>
            </w:r>
          </w:p>
        </w:tc>
        <w:tc>
          <w:tcPr>
            <w:tcW w:type="dxa" w:w="3137"/>
            <w:shd w:val="clear" w:color="auto" w:fill="F1EAFE"/>
          </w:tcPr>
          <w:p>
            <w:pPr>
              <w:spacing w:after="40"/>
            </w:pPr>
            <w:r>
              <w:rPr>
                <w:b/>
                <w:sz w:val="18"/>
              </w:rPr>
            </w:r>
          </w:p>
        </w:tc>
      </w:tr>
      <w:tr>
        <w:tc>
          <w:tcPr>
            <w:tcW w:type="dxa" w:w="3137"/>
          </w:tcPr>
          <w:p>
            <w:pPr>
              <w:spacing w:after="40"/>
            </w:pPr>
            <w:r>
              <w:rPr>
                <w:sz w:val="18"/>
              </w:rPr>
            </w:r>
            <w:r>
              <w:rPr>
                <w:sz w:val="18"/>
              </w:rPr>
              <w:t>Built from configuration management</w:t>
            </w:r>
          </w:p>
        </w:tc>
        <w:tc>
          <w:tcPr>
            <w:tcW w:type="dxa" w:w="3137"/>
          </w:tcPr>
          <w:p>
            <w:pPr>
              <w:spacing w:after="40"/>
            </w:pPr>
            <w:r>
              <w:rPr>
                <w:sz w:val="18"/>
              </w:rPr>
            </w:r>
            <w:r>
              <w:rPr>
                <w:sz w:val="18"/>
              </w:rPr>
              <w:t>26</w:t>
            </w:r>
          </w:p>
        </w:tc>
        <w:tc>
          <w:tcPr>
            <w:tcW w:type="dxa" w:w="3137"/>
          </w:tcPr>
          <w:p>
            <w:pPr>
              <w:spacing w:after="40"/>
            </w:pPr>
            <w:r>
              <w:rPr>
                <w:sz w:val="18"/>
              </w:rPr>
            </w:r>
            <w:r>
              <w:rPr>
                <w:sz w:val="18"/>
              </w:rPr>
              <w:t>60%</w:t>
            </w:r>
          </w:p>
        </w:tc>
      </w:tr>
      <w:tr>
        <w:tc>
          <w:tcPr>
            <w:tcW w:type="dxa" w:w="3137"/>
          </w:tcPr>
          <w:p>
            <w:pPr>
              <w:spacing w:after="40"/>
            </w:pPr>
            <w:r>
              <w:rPr>
                <w:sz w:val="18"/>
              </w:rPr>
            </w:r>
            <w:r>
              <w:rPr>
                <w:b/>
                <w:sz w:val="18"/>
              </w:rPr>
              <w:t>Built by hand, cannot be reproduced</w:t>
            </w:r>
          </w:p>
        </w:tc>
        <w:tc>
          <w:tcPr>
            <w:tcW w:type="dxa" w:w="3137"/>
          </w:tcPr>
          <w:p>
            <w:pPr>
              <w:spacing w:after="40"/>
            </w:pPr>
            <w:r>
              <w:rPr>
                <w:sz w:val="18"/>
              </w:rPr>
            </w:r>
            <w:r>
              <w:rPr>
                <w:b/>
                <w:sz w:val="18"/>
              </w:rPr>
              <w:t>17</w:t>
            </w:r>
          </w:p>
        </w:tc>
        <w:tc>
          <w:tcPr>
            <w:tcW w:type="dxa" w:w="3137"/>
          </w:tcPr>
          <w:p>
            <w:pPr>
              <w:spacing w:after="40"/>
            </w:pPr>
            <w:r>
              <w:rPr>
                <w:sz w:val="18"/>
              </w:rPr>
            </w:r>
            <w:r>
              <w:rPr>
                <w:b/>
                <w:sz w:val="18"/>
              </w:rPr>
              <w:t>40%</w:t>
            </w:r>
          </w:p>
        </w:tc>
      </w:tr>
      <w:tr>
        <w:tc>
          <w:tcPr>
            <w:tcW w:type="dxa" w:w="3137"/>
          </w:tcPr>
          <w:p>
            <w:pPr>
              <w:spacing w:after="40"/>
            </w:pPr>
            <w:r>
              <w:rPr>
                <w:sz w:val="18"/>
              </w:rPr>
            </w:r>
            <w:r>
              <w:rPr>
                <w:sz w:val="18"/>
              </w:rPr>
              <w:t>Security patches current</w:t>
            </w:r>
          </w:p>
        </w:tc>
        <w:tc>
          <w:tcPr>
            <w:tcW w:type="dxa" w:w="3137"/>
          </w:tcPr>
          <w:p>
            <w:pPr>
              <w:spacing w:after="40"/>
            </w:pPr>
            <w:r>
              <w:rPr>
                <w:sz w:val="18"/>
              </w:rPr>
            </w:r>
            <w:r>
              <w:rPr>
                <w:sz w:val="18"/>
              </w:rPr>
              <w:t>31</w:t>
            </w:r>
          </w:p>
        </w:tc>
        <w:tc>
          <w:tcPr>
            <w:tcW w:type="dxa" w:w="3137"/>
          </w:tcPr>
          <w:p>
            <w:pPr>
              <w:spacing w:after="40"/>
            </w:pPr>
            <w:r>
              <w:rPr>
                <w:sz w:val="18"/>
              </w:rPr>
            </w:r>
            <w:r>
              <w:rPr>
                <w:sz w:val="18"/>
              </w:rPr>
              <w:t>72%</w:t>
            </w:r>
          </w:p>
        </w:tc>
      </w:tr>
      <w:tr>
        <w:tc>
          <w:tcPr>
            <w:tcW w:type="dxa" w:w="3137"/>
          </w:tcPr>
          <w:p>
            <w:pPr>
              <w:spacing w:after="40"/>
            </w:pPr>
            <w:r>
              <w:rPr>
                <w:sz w:val="18"/>
              </w:rPr>
            </w:r>
            <w:r>
              <w:rPr>
                <w:sz w:val="18"/>
              </w:rPr>
              <w:t>Distribution still supported</w:t>
            </w:r>
          </w:p>
        </w:tc>
        <w:tc>
          <w:tcPr>
            <w:tcW w:type="dxa" w:w="3137"/>
          </w:tcPr>
          <w:p>
            <w:pPr>
              <w:spacing w:after="40"/>
            </w:pPr>
            <w:r>
              <w:rPr>
                <w:sz w:val="18"/>
              </w:rPr>
            </w:r>
            <w:r>
              <w:rPr>
                <w:sz w:val="18"/>
              </w:rPr>
              <w:t>39</w:t>
            </w:r>
          </w:p>
        </w:tc>
        <w:tc>
          <w:tcPr>
            <w:tcW w:type="dxa" w:w="3137"/>
          </w:tcPr>
          <w:p>
            <w:pPr>
              <w:spacing w:after="40"/>
            </w:pPr>
            <w:r>
              <w:rPr>
                <w:sz w:val="18"/>
              </w:rPr>
            </w:r>
            <w:r>
              <w:rPr>
                <w:sz w:val="18"/>
              </w:rPr>
              <w:t>91%</w:t>
            </w:r>
          </w:p>
        </w:tc>
      </w:tr>
      <w:tr>
        <w:tc>
          <w:tcPr>
            <w:tcW w:type="dxa" w:w="3137"/>
          </w:tcPr>
          <w:p>
            <w:pPr>
              <w:spacing w:after="40"/>
            </w:pPr>
            <w:r>
              <w:rPr>
                <w:sz w:val="18"/>
              </w:rPr>
            </w:r>
            <w:r>
              <w:rPr>
                <w:sz w:val="18"/>
              </w:rPr>
              <w:t>Logs shipped off-host</w:t>
            </w:r>
          </w:p>
        </w:tc>
        <w:tc>
          <w:tcPr>
            <w:tcW w:type="dxa" w:w="3137"/>
          </w:tcPr>
          <w:p>
            <w:pPr>
              <w:spacing w:after="40"/>
            </w:pPr>
            <w:r>
              <w:rPr>
                <w:sz w:val="18"/>
              </w:rPr>
            </w:r>
            <w:r>
              <w:rPr>
                <w:sz w:val="18"/>
              </w:rPr>
              <w:t>22</w:t>
            </w:r>
          </w:p>
        </w:tc>
        <w:tc>
          <w:tcPr>
            <w:tcW w:type="dxa" w:w="3137"/>
          </w:tcPr>
          <w:p>
            <w:pPr>
              <w:spacing w:after="40"/>
            </w:pPr>
            <w:r>
              <w:rPr>
                <w:sz w:val="18"/>
              </w:rPr>
            </w:r>
            <w:r>
              <w:rPr>
                <w:sz w:val="18"/>
              </w:rPr>
              <w:t>51%</w:t>
            </w:r>
          </w:p>
        </w:tc>
      </w:tr>
      <w:tr>
        <w:tc>
          <w:tcPr>
            <w:tcW w:type="dxa" w:w="3137"/>
          </w:tcPr>
          <w:p>
            <w:pPr>
              <w:spacing w:after="40"/>
            </w:pPr>
            <w:r>
              <w:rPr>
                <w:sz w:val="18"/>
              </w:rPr>
            </w:r>
            <w:r>
              <w:rPr>
                <w:sz w:val="18"/>
              </w:rPr>
              <w:t>Restore tested in the last year</w:t>
            </w:r>
          </w:p>
        </w:tc>
        <w:tc>
          <w:tcPr>
            <w:tcW w:type="dxa" w:w="3137"/>
          </w:tcPr>
          <w:p>
            <w:pPr>
              <w:spacing w:after="40"/>
            </w:pPr>
            <w:r>
              <w:rPr>
                <w:sz w:val="18"/>
              </w:rPr>
            </w:r>
            <w:r>
              <w:rPr>
                <w:sz w:val="18"/>
              </w:rPr>
              <w:t>9</w:t>
            </w:r>
          </w:p>
        </w:tc>
        <w:tc>
          <w:tcPr>
            <w:tcW w:type="dxa" w:w="3137"/>
          </w:tcPr>
          <w:p>
            <w:pPr>
              <w:spacing w:after="40"/>
            </w:pPr>
            <w:r>
              <w:rPr>
                <w:sz w:val="18"/>
              </w:rPr>
            </w:r>
            <w:r>
              <w:rPr>
                <w:sz w:val="18"/>
              </w:rPr>
              <w:t>21%</w:t>
            </w:r>
          </w:p>
        </w:tc>
      </w:tr>
    </w:tbl>
    <w:p>
      <w:pPr>
        <w:spacing w:after="40"/>
      </w:pPr>
    </w:p>
    <w:p>
      <w:r>
        <w:rPr>
          <w:b/>
        </w:rPr>
        <w:t>The 17 unreproducible hosts are the finding behind most of the others.</w:t>
      </w:r>
      <w:r>
        <w:t xml:space="preserve"> They are unpatched more often, they are the ones with unexplained listening ports, and they are the ones nobody wants to reboot.</w:t>
      </w:r>
    </w:p>
    <w:p>
      <w:pPr>
        <w:pStyle w:val="Heading1"/>
      </w:pPr>
      <w:r>
        <w:t>2. What is listening</w:t>
      </w:r>
    </w:p>
    <w:p>
      <w:r>
        <w:t>Collected from every host, then checked from outside.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p>
        </w:tc>
        <w:tc>
          <w:tcPr>
            <w:tcW w:type="dxa" w:w="4706"/>
            <w:shd w:val="clear" w:color="auto" w:fill="F1EAFE"/>
          </w:tcPr>
          <w:p>
            <w:pPr>
              <w:spacing w:after="40"/>
            </w:pPr>
            <w:r>
              <w:rPr>
                <w:b/>
                <w:sz w:val="18"/>
              </w:rPr>
            </w:r>
            <w:r>
              <w:rPr>
                <w:b/>
                <w:sz w:val="18"/>
              </w:rPr>
              <w:t>Ports</w:t>
            </w:r>
          </w:p>
        </w:tc>
      </w:tr>
      <w:tr>
        <w:tc>
          <w:tcPr>
            <w:tcW w:type="dxa" w:w="4706"/>
          </w:tcPr>
          <w:p>
            <w:pPr>
              <w:spacing w:after="40"/>
            </w:pPr>
            <w:r>
              <w:rPr>
                <w:sz w:val="18"/>
              </w:rPr>
            </w:r>
            <w:r>
              <w:rPr>
                <w:sz w:val="18"/>
              </w:rPr>
              <w:t>Explained by the host's documented purpose</w:t>
            </w:r>
          </w:p>
        </w:tc>
        <w:tc>
          <w:tcPr>
            <w:tcW w:type="dxa" w:w="4706"/>
          </w:tcPr>
          <w:p>
            <w:pPr>
              <w:spacing w:after="40"/>
            </w:pPr>
            <w:r>
              <w:rPr>
                <w:sz w:val="18"/>
              </w:rPr>
            </w:r>
            <w:r>
              <w:rPr>
                <w:sz w:val="18"/>
              </w:rPr>
              <w:t>88</w:t>
            </w:r>
          </w:p>
        </w:tc>
      </w:tr>
      <w:tr>
        <w:tc>
          <w:tcPr>
            <w:tcW w:type="dxa" w:w="4706"/>
          </w:tcPr>
          <w:p>
            <w:pPr>
              <w:spacing w:after="40"/>
            </w:pPr>
            <w:r>
              <w:rPr>
                <w:sz w:val="18"/>
              </w:rPr>
            </w:r>
            <w:r>
              <w:rPr>
                <w:b/>
                <w:sz w:val="18"/>
              </w:rPr>
              <w:t>Unexplained</w:t>
            </w:r>
          </w:p>
        </w:tc>
        <w:tc>
          <w:tcPr>
            <w:tcW w:type="dxa" w:w="4706"/>
          </w:tcPr>
          <w:p>
            <w:pPr>
              <w:spacing w:after="40"/>
            </w:pPr>
            <w:r>
              <w:rPr>
                <w:sz w:val="18"/>
              </w:rPr>
            </w:r>
            <w:r>
              <w:rPr>
                <w:b/>
                <w:sz w:val="18"/>
              </w:rPr>
              <w:t>19</w:t>
            </w:r>
          </w:p>
        </w:tc>
      </w:tr>
      <w:tr>
        <w:tc>
          <w:tcPr>
            <w:tcW w:type="dxa" w:w="4706"/>
          </w:tcPr>
          <w:p>
            <w:pPr>
              <w:spacing w:after="40"/>
            </w:pPr>
            <w:r>
              <w:rPr>
                <w:sz w:val="18"/>
              </w:rPr>
            </w:r>
            <w:r>
              <w:rPr>
                <w:sz w:val="18"/>
              </w:rPr>
              <w:t>Bound to all interfaces where localhost would do</w:t>
            </w:r>
          </w:p>
        </w:tc>
        <w:tc>
          <w:tcPr>
            <w:tcW w:type="dxa" w:w="4706"/>
          </w:tcPr>
          <w:p>
            <w:pPr>
              <w:spacing w:after="40"/>
            </w:pPr>
            <w:r>
              <w:rPr>
                <w:sz w:val="18"/>
              </w:rPr>
            </w:r>
            <w:r>
              <w:rPr>
                <w:b/>
                <w:sz w:val="18"/>
              </w:rPr>
              <w:t>14</w:t>
            </w:r>
          </w:p>
        </w:tc>
      </w:tr>
      <w:tr>
        <w:tc>
          <w:tcPr>
            <w:tcW w:type="dxa" w:w="4706"/>
          </w:tcPr>
          <w:p>
            <w:pPr>
              <w:spacing w:after="40"/>
            </w:pPr>
            <w:r>
              <w:rPr>
                <w:sz w:val="18"/>
              </w:rPr>
            </w:r>
            <w:r>
              <w:rPr>
                <w:sz w:val="18"/>
              </w:rPr>
              <w:t>Reachable from outside the management network</w:t>
            </w:r>
          </w:p>
        </w:tc>
        <w:tc>
          <w:tcPr>
            <w:tcW w:type="dxa" w:w="4706"/>
          </w:tcPr>
          <w:p>
            <w:pPr>
              <w:spacing w:after="40"/>
            </w:pPr>
            <w:r>
              <w:rPr>
                <w:sz w:val="18"/>
              </w:rPr>
            </w:r>
            <w:r>
              <w:rPr>
                <w:sz w:val="18"/>
              </w:rPr>
              <w:t>6</w:t>
            </w:r>
          </w:p>
        </w:tc>
      </w:tr>
    </w:tbl>
    <w:p>
      <w:pPr>
        <w:spacing w:after="40"/>
      </w:pPr>
    </w:p>
    <w:p>
      <w:r>
        <w:rPr>
          <w:b/>
        </w:rPr>
        <w:t>Six reachable services that should not be</w:t>
      </w:r>
      <w:r>
        <w:t>, all on hosts in the unreproducible 17:</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Service</w:t>
            </w:r>
          </w:p>
        </w:tc>
        <w:tc>
          <w:tcPr>
            <w:tcW w:type="dxa" w:w="3137"/>
            <w:shd w:val="clear" w:color="auto" w:fill="F1EAFE"/>
          </w:tcPr>
          <w:p>
            <w:pPr>
              <w:spacing w:after="40"/>
            </w:pPr>
            <w:r>
              <w:rPr>
                <w:b/>
                <w:sz w:val="18"/>
              </w:rPr>
            </w:r>
            <w:r>
              <w:rPr>
                <w:b/>
                <w:sz w:val="18"/>
              </w:rPr>
              <w:t>Exposure</w:t>
            </w:r>
          </w:p>
        </w:tc>
        <w:tc>
          <w:tcPr>
            <w:tcW w:type="dxa" w:w="3137"/>
            <w:shd w:val="clear" w:color="auto" w:fill="F1EAFE"/>
          </w:tcPr>
          <w:p>
            <w:pPr>
              <w:spacing w:after="40"/>
            </w:pPr>
            <w:r>
              <w:rPr>
                <w:b/>
                <w:sz w:val="18"/>
              </w:rPr>
            </w:r>
            <w:r>
              <w:rPr>
                <w:b/>
                <w:sz w:val="18"/>
              </w:rPr>
              <w:t>Note</w:t>
            </w:r>
          </w:p>
        </w:tc>
      </w:tr>
      <w:tr>
        <w:tc>
          <w:tcPr>
            <w:tcW w:type="dxa" w:w="3137"/>
          </w:tcPr>
          <w:p>
            <w:pPr>
              <w:spacing w:after="40"/>
            </w:pPr>
            <w:r>
              <w:rPr>
                <w:sz w:val="18"/>
              </w:rPr>
            </w:r>
            <w:r>
              <w:rPr>
                <w:sz w:val="18"/>
              </w:rPr>
              <w:t>Database admin interface</w:t>
            </w:r>
          </w:p>
        </w:tc>
        <w:tc>
          <w:tcPr>
            <w:tcW w:type="dxa" w:w="3137"/>
          </w:tcPr>
          <w:p>
            <w:pPr>
              <w:spacing w:after="40"/>
            </w:pPr>
            <w:r>
              <w:rPr>
                <w:sz w:val="18"/>
              </w:rPr>
            </w:r>
            <w:r>
              <w:rPr>
                <w:sz w:val="18"/>
              </w:rPr>
              <w:t>Internet</w:t>
            </w:r>
          </w:p>
        </w:tc>
        <w:tc>
          <w:tcPr>
            <w:tcW w:type="dxa" w:w="3137"/>
          </w:tcPr>
          <w:p>
            <w:pPr>
              <w:spacing w:after="40"/>
            </w:pPr>
            <w:r>
              <w:rPr>
                <w:sz w:val="18"/>
              </w:rPr>
            </w:r>
            <w:r>
              <w:rPr>
                <w:sz w:val="18"/>
              </w:rPr>
              <w:t>Authentication required, no rate limit</w:t>
            </w:r>
          </w:p>
        </w:tc>
      </w:tr>
      <w:tr>
        <w:tc>
          <w:tcPr>
            <w:tcW w:type="dxa" w:w="3137"/>
          </w:tcPr>
          <w:p>
            <w:pPr>
              <w:spacing w:after="40"/>
            </w:pPr>
            <w:r>
              <w:rPr>
                <w:sz w:val="18"/>
              </w:rPr>
            </w:r>
            <w:r>
              <w:rPr>
                <w:sz w:val="18"/>
              </w:rPr>
              <w:t>Cache, no authentication</w:t>
            </w:r>
          </w:p>
        </w:tc>
        <w:tc>
          <w:tcPr>
            <w:tcW w:type="dxa" w:w="3137"/>
          </w:tcPr>
          <w:p>
            <w:pPr>
              <w:spacing w:after="40"/>
            </w:pPr>
            <w:r>
              <w:rPr>
                <w:sz w:val="18"/>
              </w:rPr>
            </w:r>
            <w:r>
              <w:rPr>
                <w:sz w:val="18"/>
              </w:rPr>
              <w:t>Internal, all VLANs</w:t>
            </w:r>
          </w:p>
        </w:tc>
        <w:tc>
          <w:tcPr>
            <w:tcW w:type="dxa" w:w="3137"/>
          </w:tcPr>
          <w:p>
            <w:pPr>
              <w:spacing w:after="40"/>
            </w:pPr>
            <w:r>
              <w:rPr>
                <w:sz w:val="18"/>
              </w:rPr>
            </w:r>
            <w:r>
              <w:rPr>
                <w:sz w:val="18"/>
              </w:rPr>
              <w:t>Default configuration</w:t>
            </w:r>
          </w:p>
        </w:tc>
      </w:tr>
      <w:tr>
        <w:tc>
          <w:tcPr>
            <w:tcW w:type="dxa" w:w="3137"/>
          </w:tcPr>
          <w:p>
            <w:pPr>
              <w:spacing w:after="40"/>
            </w:pPr>
            <w:r>
              <w:rPr>
                <w:sz w:val="18"/>
              </w:rPr>
            </w:r>
            <w:r>
              <w:rPr>
                <w:sz w:val="18"/>
              </w:rPr>
              <w:t>Metrics endpoint</w:t>
            </w:r>
          </w:p>
        </w:tc>
        <w:tc>
          <w:tcPr>
            <w:tcW w:type="dxa" w:w="3137"/>
          </w:tcPr>
          <w:p>
            <w:pPr>
              <w:spacing w:after="40"/>
            </w:pPr>
            <w:r>
              <w:rPr>
                <w:sz w:val="18"/>
              </w:rPr>
            </w:r>
            <w:r>
              <w:rPr>
                <w:sz w:val="18"/>
              </w:rPr>
              <w:t>Internet</w:t>
            </w:r>
          </w:p>
        </w:tc>
        <w:tc>
          <w:tcPr>
            <w:tcW w:type="dxa" w:w="3137"/>
          </w:tcPr>
          <w:p>
            <w:pPr>
              <w:spacing w:after="40"/>
            </w:pPr>
            <w:r>
              <w:rPr>
                <w:sz w:val="18"/>
              </w:rPr>
            </w:r>
            <w:r>
              <w:rPr>
                <w:sz w:val="18"/>
              </w:rPr>
              <w:t>Discloses internal hostnames</w:t>
            </w:r>
          </w:p>
        </w:tc>
      </w:tr>
      <w:tr>
        <w:tc>
          <w:tcPr>
            <w:tcW w:type="dxa" w:w="3137"/>
          </w:tcPr>
          <w:p>
            <w:pPr>
              <w:spacing w:after="40"/>
            </w:pPr>
            <w:r>
              <w:rPr>
                <w:sz w:val="18"/>
              </w:rPr>
            </w:r>
            <w:r>
              <w:rPr>
                <w:sz w:val="18"/>
              </w:rPr>
              <w:t>Test web server</w:t>
            </w:r>
          </w:p>
        </w:tc>
        <w:tc>
          <w:tcPr>
            <w:tcW w:type="dxa" w:w="3137"/>
          </w:tcPr>
          <w:p>
            <w:pPr>
              <w:spacing w:after="40"/>
            </w:pPr>
            <w:r>
              <w:rPr>
                <w:sz w:val="18"/>
              </w:rPr>
            </w:r>
            <w:r>
              <w:rPr>
                <w:sz w:val="18"/>
              </w:rPr>
              <w:t>Internet</w:t>
            </w:r>
          </w:p>
        </w:tc>
        <w:tc>
          <w:tcPr>
            <w:tcW w:type="dxa" w:w="3137"/>
          </w:tcPr>
          <w:p>
            <w:pPr>
              <w:spacing w:after="40"/>
            </w:pPr>
            <w:r>
              <w:rPr>
                <w:sz w:val="18"/>
              </w:rPr>
            </w:r>
            <w:r>
              <w:rPr>
                <w:sz w:val="18"/>
              </w:rPr>
              <w:t>Left from a 2024 investigation</w:t>
            </w:r>
          </w:p>
        </w:tc>
      </w:tr>
      <w:tr>
        <w:tc>
          <w:tcPr>
            <w:tcW w:type="dxa" w:w="3137"/>
          </w:tcPr>
          <w:p>
            <w:pPr>
              <w:spacing w:after="40"/>
            </w:pPr>
            <w:r>
              <w:rPr>
                <w:sz w:val="18"/>
              </w:rPr>
            </w:r>
            <w:r>
              <w:rPr>
                <w:sz w:val="18"/>
              </w:rPr>
              <w:t>SSH on a non-standard port</w:t>
            </w:r>
          </w:p>
        </w:tc>
        <w:tc>
          <w:tcPr>
            <w:tcW w:type="dxa" w:w="3137"/>
          </w:tcPr>
          <w:p>
            <w:pPr>
              <w:spacing w:after="40"/>
            </w:pPr>
            <w:r>
              <w:rPr>
                <w:sz w:val="18"/>
              </w:rPr>
            </w:r>
            <w:r>
              <w:rPr>
                <w:sz w:val="18"/>
              </w:rPr>
              <w:t>Internet</w:t>
            </w:r>
          </w:p>
        </w:tc>
        <w:tc>
          <w:tcPr>
            <w:tcW w:type="dxa" w:w="3137"/>
          </w:tcPr>
          <w:p>
            <w:pPr>
              <w:spacing w:after="40"/>
            </w:pPr>
            <w:r>
              <w:rPr>
                <w:sz w:val="18"/>
              </w:rPr>
            </w:r>
            <w:r>
              <w:rPr>
                <w:sz w:val="18"/>
              </w:rPr>
              <w:t xml:space="preserve">Password authentication </w:t>
            </w:r>
            <w:r>
              <w:rPr>
                <w:b/>
                <w:sz w:val="18"/>
              </w:rPr>
              <w:t>enabled</w:t>
            </w:r>
          </w:p>
        </w:tc>
      </w:tr>
      <w:tr>
        <w:tc>
          <w:tcPr>
            <w:tcW w:type="dxa" w:w="3137"/>
          </w:tcPr>
          <w:p>
            <w:pPr>
              <w:spacing w:after="40"/>
            </w:pPr>
            <w:r>
              <w:rPr>
                <w:sz w:val="18"/>
              </w:rPr>
            </w:r>
            <w:r>
              <w:rPr>
                <w:sz w:val="18"/>
              </w:rPr>
              <w:t>Message queue admin</w:t>
            </w:r>
          </w:p>
        </w:tc>
        <w:tc>
          <w:tcPr>
            <w:tcW w:type="dxa" w:w="3137"/>
          </w:tcPr>
          <w:p>
            <w:pPr>
              <w:spacing w:after="40"/>
            </w:pPr>
            <w:r>
              <w:rPr>
                <w:sz w:val="18"/>
              </w:rPr>
            </w:r>
            <w:r>
              <w:rPr>
                <w:sz w:val="18"/>
              </w:rPr>
              <w:t>Internal, all VLANs</w:t>
            </w:r>
          </w:p>
        </w:tc>
        <w:tc>
          <w:tcPr>
            <w:tcW w:type="dxa" w:w="3137"/>
          </w:tcPr>
          <w:p>
            <w:pPr>
              <w:spacing w:after="40"/>
            </w:pPr>
            <w:r>
              <w:rPr>
                <w:sz w:val="18"/>
              </w:rPr>
            </w:r>
            <w:r>
              <w:rPr>
                <w:sz w:val="18"/>
              </w:rPr>
              <w:t>Default credentials unchanged</w:t>
            </w:r>
          </w:p>
        </w:tc>
      </w:tr>
    </w:tbl>
    <w:p>
      <w:pPr>
        <w:spacing w:after="40"/>
      </w:pPr>
    </w:p>
    <w:p>
      <w:r>
        <w:t>The last two are the immediate work. Everything else on this page can wait a week.</w:t>
      </w:r>
    </w:p>
    <w:p>
      <w:pPr>
        <w:pStyle w:val="Heading1"/>
      </w:pPr>
      <w:r>
        <w:t>3. Access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p>
        </w:tc>
        <w:tc>
          <w:tcPr>
            <w:tcW w:type="dxa" w:w="4706"/>
            <w:shd w:val="clear" w:color="auto" w:fill="F1EAFE"/>
          </w:tcPr>
          <w:p>
            <w:pPr>
              <w:spacing w:after="40"/>
            </w:pPr>
            <w:r>
              <w:rPr>
                <w:b/>
                <w:sz w:val="18"/>
              </w:rPr>
            </w:r>
            <w:r>
              <w:rPr>
                <w:b/>
                <w:sz w:val="18"/>
              </w:rPr>
              <w:t>Count</w:t>
            </w:r>
          </w:p>
        </w:tc>
      </w:tr>
      <w:tr>
        <w:tc>
          <w:tcPr>
            <w:tcW w:type="dxa" w:w="4706"/>
          </w:tcPr>
          <w:p>
            <w:pPr>
              <w:spacing w:after="40"/>
            </w:pPr>
            <w:r>
              <w:rPr>
                <w:sz w:val="18"/>
              </w:rPr>
            </w:r>
            <w:r>
              <w:rPr>
                <w:sz w:val="18"/>
              </w:rPr>
              <w:t>Accounts across the estate</w:t>
            </w:r>
          </w:p>
        </w:tc>
        <w:tc>
          <w:tcPr>
            <w:tcW w:type="dxa" w:w="4706"/>
          </w:tcPr>
          <w:p>
            <w:pPr>
              <w:spacing w:after="40"/>
            </w:pPr>
            <w:r>
              <w:rPr>
                <w:sz w:val="18"/>
              </w:rPr>
            </w:r>
            <w:r>
              <w:rPr>
                <w:sz w:val="18"/>
              </w:rPr>
              <w:t>214</w:t>
            </w:r>
          </w:p>
        </w:tc>
      </w:tr>
      <w:tr>
        <w:tc>
          <w:tcPr>
            <w:tcW w:type="dxa" w:w="4706"/>
          </w:tcPr>
          <w:p>
            <w:pPr>
              <w:spacing w:after="40"/>
            </w:pPr>
            <w:r>
              <w:rPr>
                <w:sz w:val="18"/>
              </w:rPr>
            </w:r>
            <w:r>
              <w:rPr>
                <w:sz w:val="18"/>
              </w:rPr>
              <w:t>Belonging to current staff</w:t>
            </w:r>
          </w:p>
        </w:tc>
        <w:tc>
          <w:tcPr>
            <w:tcW w:type="dxa" w:w="4706"/>
          </w:tcPr>
          <w:p>
            <w:pPr>
              <w:spacing w:after="40"/>
            </w:pPr>
            <w:r>
              <w:rPr>
                <w:sz w:val="18"/>
              </w:rPr>
            </w:r>
            <w:r>
              <w:rPr>
                <w:sz w:val="18"/>
              </w:rPr>
              <w:t>178</w:t>
            </w:r>
          </w:p>
        </w:tc>
      </w:tr>
      <w:tr>
        <w:tc>
          <w:tcPr>
            <w:tcW w:type="dxa" w:w="4706"/>
          </w:tcPr>
          <w:p>
            <w:pPr>
              <w:spacing w:after="40"/>
            </w:pPr>
            <w:r>
              <w:rPr>
                <w:sz w:val="18"/>
              </w:rPr>
            </w:r>
            <w:r>
              <w:rPr>
                <w:b/>
                <w:sz w:val="18"/>
              </w:rPr>
              <w:t>Belonging to departed staff</w:t>
            </w:r>
          </w:p>
        </w:tc>
        <w:tc>
          <w:tcPr>
            <w:tcW w:type="dxa" w:w="4706"/>
          </w:tcPr>
          <w:p>
            <w:pPr>
              <w:spacing w:after="40"/>
            </w:pPr>
            <w:r>
              <w:rPr>
                <w:sz w:val="18"/>
              </w:rPr>
            </w:r>
            <w:r>
              <w:rPr>
                <w:b/>
                <w:sz w:val="18"/>
              </w:rPr>
              <w:t>21</w:t>
            </w:r>
          </w:p>
        </w:tc>
      </w:tr>
      <w:tr>
        <w:tc>
          <w:tcPr>
            <w:tcW w:type="dxa" w:w="4706"/>
          </w:tcPr>
          <w:p>
            <w:pPr>
              <w:spacing w:after="40"/>
            </w:pPr>
            <w:r>
              <w:rPr>
                <w:sz w:val="18"/>
              </w:rPr>
            </w:r>
            <w:r>
              <w:rPr>
                <w:sz w:val="18"/>
              </w:rPr>
              <w:t>Shared or role accounts with a password</w:t>
            </w:r>
          </w:p>
        </w:tc>
        <w:tc>
          <w:tcPr>
            <w:tcW w:type="dxa" w:w="4706"/>
          </w:tcPr>
          <w:p>
            <w:pPr>
              <w:spacing w:after="40"/>
            </w:pPr>
            <w:r>
              <w:rPr>
                <w:sz w:val="18"/>
              </w:rPr>
            </w:r>
            <w:r>
              <w:rPr>
                <w:sz w:val="18"/>
              </w:rPr>
              <w:t>9</w:t>
            </w:r>
          </w:p>
        </w:tc>
      </w:tr>
      <w:tr>
        <w:tc>
          <w:tcPr>
            <w:tcW w:type="dxa" w:w="4706"/>
          </w:tcPr>
          <w:p>
            <w:pPr>
              <w:spacing w:after="40"/>
            </w:pPr>
            <w:r>
              <w:rPr>
                <w:sz w:val="18"/>
              </w:rPr>
            </w:r>
            <w:r>
              <w:rPr>
                <w:sz w:val="18"/>
              </w:rPr>
              <w:t>Accounts with passwordless sudo</w:t>
            </w:r>
          </w:p>
        </w:tc>
        <w:tc>
          <w:tcPr>
            <w:tcW w:type="dxa" w:w="4706"/>
          </w:tcPr>
          <w:p>
            <w:pPr>
              <w:spacing w:after="40"/>
            </w:pPr>
            <w:r>
              <w:rPr>
                <w:sz w:val="18"/>
              </w:rPr>
            </w:r>
            <w:r>
              <w:rPr>
                <w:sz w:val="18"/>
              </w:rPr>
              <w:t>31</w:t>
            </w:r>
          </w:p>
        </w:tc>
      </w:tr>
      <w:tr>
        <w:tc>
          <w:tcPr>
            <w:tcW w:type="dxa" w:w="4706"/>
          </w:tcPr>
          <w:p>
            <w:pPr>
              <w:spacing w:after="40"/>
            </w:pPr>
            <w:r>
              <w:rPr>
                <w:sz w:val="18"/>
              </w:rPr>
            </w:r>
            <w:r>
              <w:rPr>
                <w:sz w:val="18"/>
              </w:rPr>
              <w:t>Hosts with password SSH enabled</w:t>
            </w:r>
          </w:p>
        </w:tc>
        <w:tc>
          <w:tcPr>
            <w:tcW w:type="dxa" w:w="4706"/>
          </w:tcPr>
          <w:p>
            <w:pPr>
              <w:spacing w:after="40"/>
            </w:pPr>
            <w:r>
              <w:rPr>
                <w:sz w:val="18"/>
              </w:rPr>
            </w:r>
            <w:r>
              <w:rPr>
                <w:sz w:val="18"/>
              </w:rPr>
              <w:t>4</w:t>
            </w:r>
          </w:p>
        </w:tc>
      </w:tr>
      <w:tr>
        <w:tc>
          <w:tcPr>
            <w:tcW w:type="dxa" w:w="4706"/>
          </w:tcPr>
          <w:p>
            <w:pPr>
              <w:spacing w:after="40"/>
            </w:pPr>
            <w:r>
              <w:rPr>
                <w:sz w:val="18"/>
              </w:rPr>
            </w:r>
            <w:r>
              <w:rPr>
                <w:sz w:val="18"/>
              </w:rPr>
              <w:t>Hosts with root SSH permitted</w:t>
            </w:r>
          </w:p>
        </w:tc>
        <w:tc>
          <w:tcPr>
            <w:tcW w:type="dxa" w:w="4706"/>
          </w:tcPr>
          <w:p>
            <w:pPr>
              <w:spacing w:after="40"/>
            </w:pPr>
            <w:r>
              <w:rPr>
                <w:sz w:val="18"/>
              </w:rPr>
            </w:r>
            <w:r>
              <w:rPr>
                <w:sz w:val="18"/>
              </w:rPr>
              <w:t>2</w:t>
            </w:r>
          </w:p>
        </w:tc>
      </w:tr>
    </w:tbl>
    <w:p>
      <w:pPr>
        <w:spacing w:after="40"/>
      </w:pPr>
    </w:p>
    <w:p>
      <w:r>
        <w:rPr>
          <w:b/>
        </w:rPr>
        <w:t>Twenty-one accounts belong to people who have left</w:t>
      </w:r>
      <w:r>
        <w:t>, the oldest 19 months. Three have passwordless sudo. None of them has authenticated recently, which is the only reassuring thing on this table and is not a control.</w:t>
      </w:r>
    </w:p>
    <w:p>
      <w:r>
        <w:rPr>
          <w:b/>
        </w:rPr>
        <w:t>One key, no break-glass.</w:t>
      </w:r>
      <w:r>
        <w:t xml:space="preserve"> Every administrative key in the estate is held on the same laptop. Nothing in this audit found anything, and losing that laptop is currently an estate-wide outage.</w:t>
      </w:r>
    </w:p>
    <w:p>
      <w:pPr>
        <w:pStyle w:val="Heading1"/>
      </w:pPr>
      <w:r>
        <w:t>4. Patching</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p>
        </w:tc>
        <w:tc>
          <w:tcPr>
            <w:tcW w:type="dxa" w:w="4706"/>
            <w:shd w:val="clear" w:color="auto" w:fill="F1EAFE"/>
          </w:tcPr>
          <w:p>
            <w:pPr>
              <w:spacing w:after="40"/>
            </w:pPr>
            <w:r>
              <w:rPr>
                <w:b/>
                <w:sz w:val="18"/>
              </w:rPr>
            </w:r>
            <w:r>
              <w:rPr>
                <w:b/>
                <w:sz w:val="18"/>
              </w:rPr>
              <w:t>Hosts</w:t>
            </w:r>
          </w:p>
        </w:tc>
      </w:tr>
      <w:tr>
        <w:tc>
          <w:tcPr>
            <w:tcW w:type="dxa" w:w="4706"/>
          </w:tcPr>
          <w:p>
            <w:pPr>
              <w:spacing w:after="40"/>
            </w:pPr>
            <w:r>
              <w:rPr>
                <w:sz w:val="18"/>
              </w:rPr>
            </w:r>
            <w:r>
              <w:rPr>
                <w:sz w:val="18"/>
              </w:rPr>
              <w:t>Automatic security updates</w:t>
            </w:r>
          </w:p>
        </w:tc>
        <w:tc>
          <w:tcPr>
            <w:tcW w:type="dxa" w:w="4706"/>
          </w:tcPr>
          <w:p>
            <w:pPr>
              <w:spacing w:after="40"/>
            </w:pPr>
            <w:r>
              <w:rPr>
                <w:sz w:val="18"/>
              </w:rPr>
            </w:r>
            <w:r>
              <w:rPr>
                <w:sz w:val="18"/>
              </w:rPr>
              <w:t>24</w:t>
            </w:r>
          </w:p>
        </w:tc>
      </w:tr>
      <w:tr>
        <w:tc>
          <w:tcPr>
            <w:tcW w:type="dxa" w:w="4706"/>
          </w:tcPr>
          <w:p>
            <w:pPr>
              <w:spacing w:after="40"/>
            </w:pPr>
            <w:r>
              <w:rPr>
                <w:sz w:val="18"/>
              </w:rPr>
            </w:r>
            <w:r>
              <w:rPr>
                <w:sz w:val="18"/>
              </w:rPr>
              <w:t>Manual, patched within 30 days</w:t>
            </w:r>
          </w:p>
        </w:tc>
        <w:tc>
          <w:tcPr>
            <w:tcW w:type="dxa" w:w="4706"/>
          </w:tcPr>
          <w:p>
            <w:pPr>
              <w:spacing w:after="40"/>
            </w:pPr>
            <w:r>
              <w:rPr>
                <w:sz w:val="18"/>
              </w:rPr>
            </w:r>
            <w:r>
              <w:rPr>
                <w:sz w:val="18"/>
              </w:rPr>
              <w:t>7</w:t>
            </w:r>
          </w:p>
        </w:tc>
      </w:tr>
      <w:tr>
        <w:tc>
          <w:tcPr>
            <w:tcW w:type="dxa" w:w="4706"/>
          </w:tcPr>
          <w:p>
            <w:pPr>
              <w:spacing w:after="40"/>
            </w:pPr>
            <w:r>
              <w:rPr>
                <w:sz w:val="18"/>
              </w:rPr>
            </w:r>
            <w:r>
              <w:rPr>
                <w:b/>
                <w:sz w:val="18"/>
              </w:rPr>
              <w:t>Manual, over 90 days behind</w:t>
            </w:r>
          </w:p>
        </w:tc>
        <w:tc>
          <w:tcPr>
            <w:tcW w:type="dxa" w:w="4706"/>
          </w:tcPr>
          <w:p>
            <w:pPr>
              <w:spacing w:after="40"/>
            </w:pPr>
            <w:r>
              <w:rPr>
                <w:sz w:val="18"/>
              </w:rPr>
            </w:r>
            <w:r>
              <w:rPr>
                <w:b/>
                <w:sz w:val="18"/>
              </w:rPr>
              <w:t>12</w:t>
            </w:r>
          </w:p>
        </w:tc>
      </w:tr>
      <w:tr>
        <w:tc>
          <w:tcPr>
            <w:tcW w:type="dxa" w:w="4706"/>
          </w:tcPr>
          <w:p>
            <w:pPr>
              <w:spacing w:after="40"/>
            </w:pPr>
            <w:r>
              <w:rPr>
                <w:sz w:val="18"/>
              </w:rPr>
            </w:r>
            <w:r>
              <w:rPr>
                <w:sz w:val="18"/>
              </w:rPr>
              <w:t>Pending reboot for a kernel update</w:t>
            </w:r>
          </w:p>
        </w:tc>
        <w:tc>
          <w:tcPr>
            <w:tcW w:type="dxa" w:w="4706"/>
          </w:tcPr>
          <w:p>
            <w:pPr>
              <w:spacing w:after="40"/>
            </w:pPr>
            <w:r>
              <w:rPr>
                <w:sz w:val="18"/>
              </w:rPr>
            </w:r>
            <w:r>
              <w:rPr>
                <w:sz w:val="18"/>
              </w:rPr>
              <w:t>15</w:t>
            </w:r>
          </w:p>
        </w:tc>
      </w:tr>
      <w:tr>
        <w:tc>
          <w:tcPr>
            <w:tcW w:type="dxa" w:w="4706"/>
          </w:tcPr>
          <w:p>
            <w:pPr>
              <w:spacing w:after="40"/>
            </w:pPr>
            <w:r>
              <w:rPr>
                <w:sz w:val="18"/>
              </w:rPr>
            </w:r>
            <w:r>
              <w:rPr>
                <w:sz w:val="18"/>
              </w:rPr>
              <w:t>Distribution out of support</w:t>
            </w:r>
          </w:p>
        </w:tc>
        <w:tc>
          <w:tcPr>
            <w:tcW w:type="dxa" w:w="4706"/>
          </w:tcPr>
          <w:p>
            <w:pPr>
              <w:spacing w:after="40"/>
            </w:pPr>
            <w:r>
              <w:rPr>
                <w:sz w:val="18"/>
              </w:rPr>
            </w:r>
            <w:r>
              <w:rPr>
                <w:b/>
                <w:sz w:val="18"/>
              </w:rPr>
              <w:t>4</w:t>
            </w:r>
          </w:p>
        </w:tc>
      </w:tr>
    </w:tbl>
    <w:p>
      <w:pPr>
        <w:spacing w:after="40"/>
      </w:pPr>
    </w:p>
    <w:p>
      <w:r>
        <w:t>The 12 unpatched hosts are all in the unreproducible 17. That is not a coincidence, a host nobody can rebuild is a host nobody wants to touch, so patching is deferred, which makes it more fragile, which makes people less willing to touch it.</w:t>
      </w:r>
    </w:p>
    <w:p>
      <w:r>
        <w:rPr>
          <w:b/>
        </w:rPr>
        <w:t>The four out-of-support hosts</w:t>
      </w:r>
      <w:r>
        <w:t xml:space="preserve"> run an application whose vendor has not certified a newer release. That is a supplier conversation, not a technical one, and it has not been had.</w:t>
      </w:r>
    </w:p>
    <w:p>
      <w:pPr>
        <w:pStyle w:val="Heading1"/>
      </w:pPr>
      <w:r>
        <w:t>5. Disks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p>
        </w:tc>
        <w:tc>
          <w:tcPr>
            <w:tcW w:type="dxa" w:w="4706"/>
            <w:shd w:val="clear" w:color="auto" w:fill="F1EAFE"/>
          </w:tcPr>
          <w:p>
            <w:pPr>
              <w:spacing w:after="40"/>
            </w:pPr>
            <w:r>
              <w:rPr>
                <w:b/>
                <w:sz w:val="18"/>
              </w:rPr>
            </w:r>
            <w:r>
              <w:rPr>
                <w:b/>
                <w:sz w:val="18"/>
              </w:rPr>
              <w:t>Hosts</w:t>
            </w:r>
          </w:p>
        </w:tc>
      </w:tr>
      <w:tr>
        <w:tc>
          <w:tcPr>
            <w:tcW w:type="dxa" w:w="4706"/>
          </w:tcPr>
          <w:p>
            <w:pPr>
              <w:spacing w:after="40"/>
            </w:pPr>
            <w:r>
              <w:rPr>
                <w:sz w:val="18"/>
              </w:rPr>
            </w:r>
            <w:r>
              <w:rPr>
                <w:sz w:val="18"/>
              </w:rPr>
              <w:t>Over 90% on any filesystem</w:t>
            </w:r>
          </w:p>
        </w:tc>
        <w:tc>
          <w:tcPr>
            <w:tcW w:type="dxa" w:w="4706"/>
          </w:tcPr>
          <w:p>
            <w:pPr>
              <w:spacing w:after="40"/>
            </w:pPr>
            <w:r>
              <w:rPr>
                <w:sz w:val="18"/>
              </w:rPr>
            </w:r>
            <w:r>
              <w:rPr>
                <w:sz w:val="18"/>
              </w:rPr>
              <w:t>3</w:t>
            </w:r>
          </w:p>
        </w:tc>
      </w:tr>
      <w:tr>
        <w:tc>
          <w:tcPr>
            <w:tcW w:type="dxa" w:w="4706"/>
          </w:tcPr>
          <w:p>
            <w:pPr>
              <w:spacing w:after="40"/>
            </w:pPr>
            <w:r>
              <w:rPr>
                <w:sz w:val="18"/>
              </w:rPr>
            </w:r>
            <w:r>
              <w:rPr>
                <w:sz w:val="18"/>
              </w:rPr>
              <w:t>Over 75%</w:t>
            </w:r>
          </w:p>
        </w:tc>
        <w:tc>
          <w:tcPr>
            <w:tcW w:type="dxa" w:w="4706"/>
          </w:tcPr>
          <w:p>
            <w:pPr>
              <w:spacing w:after="40"/>
            </w:pPr>
            <w:r>
              <w:rPr>
                <w:sz w:val="18"/>
              </w:rPr>
            </w:r>
            <w:r>
              <w:rPr>
                <w:sz w:val="18"/>
              </w:rPr>
              <w:t>11</w:t>
            </w:r>
          </w:p>
        </w:tc>
      </w:tr>
      <w:tr>
        <w:tc>
          <w:tcPr>
            <w:tcW w:type="dxa" w:w="4706"/>
          </w:tcPr>
          <w:p>
            <w:pPr>
              <w:spacing w:after="40"/>
            </w:pPr>
            <w:r>
              <w:rPr>
                <w:sz w:val="18"/>
              </w:rPr>
            </w:r>
            <w:r>
              <w:rPr>
                <w:sz w:val="18"/>
              </w:rPr>
              <w:t>Logs on the root filesystem</w:t>
            </w:r>
          </w:p>
        </w:tc>
        <w:tc>
          <w:tcPr>
            <w:tcW w:type="dxa" w:w="4706"/>
          </w:tcPr>
          <w:p>
            <w:pPr>
              <w:spacing w:after="40"/>
            </w:pPr>
            <w:r>
              <w:rPr>
                <w:sz w:val="18"/>
              </w:rPr>
            </w:r>
            <w:r>
              <w:rPr>
                <w:sz w:val="18"/>
              </w:rPr>
              <w:t>18</w:t>
            </w:r>
          </w:p>
        </w:tc>
      </w:tr>
      <w:tr>
        <w:tc>
          <w:tcPr>
            <w:tcW w:type="dxa" w:w="4706"/>
          </w:tcPr>
          <w:p>
            <w:pPr>
              <w:spacing w:after="40"/>
            </w:pPr>
            <w:r>
              <w:rPr>
                <w:sz w:val="18"/>
              </w:rPr>
            </w:r>
            <w:r>
              <w:rPr>
                <w:sz w:val="18"/>
              </w:rPr>
              <w:t>Log rotation configured but not working</w:t>
            </w:r>
          </w:p>
        </w:tc>
        <w:tc>
          <w:tcPr>
            <w:tcW w:type="dxa" w:w="4706"/>
          </w:tcPr>
          <w:p>
            <w:pPr>
              <w:spacing w:after="40"/>
            </w:pPr>
            <w:r>
              <w:rPr>
                <w:sz w:val="18"/>
              </w:rPr>
            </w:r>
            <w:r>
              <w:rPr>
                <w:b/>
                <w:sz w:val="18"/>
              </w:rPr>
              <w:t>5</w:t>
            </w:r>
          </w:p>
        </w:tc>
      </w:tr>
      <w:tr>
        <w:tc>
          <w:tcPr>
            <w:tcW w:type="dxa" w:w="4706"/>
          </w:tcPr>
          <w:p>
            <w:pPr>
              <w:spacing w:after="40"/>
            </w:pPr>
            <w:r>
              <w:rPr>
                <w:sz w:val="18"/>
              </w:rPr>
            </w:r>
            <w:r>
              <w:rPr>
                <w:sz w:val="18"/>
              </w:rPr>
              <w:t>Inode usage over 80%</w:t>
            </w:r>
          </w:p>
        </w:tc>
        <w:tc>
          <w:tcPr>
            <w:tcW w:type="dxa" w:w="4706"/>
          </w:tcPr>
          <w:p>
            <w:pPr>
              <w:spacing w:after="40"/>
            </w:pPr>
            <w:r>
              <w:rPr>
                <w:sz w:val="18"/>
              </w:rPr>
            </w:r>
            <w:r>
              <w:rPr>
                <w:sz w:val="18"/>
              </w:rPr>
              <w:t>2</w:t>
            </w:r>
          </w:p>
        </w:tc>
      </w:tr>
    </w:tbl>
    <w:p>
      <w:pPr>
        <w:spacing w:after="40"/>
      </w:pPr>
    </w:p>
    <w:p>
      <w:r>
        <w:rPr>
          <w:b/>
        </w:rPr>
        <w:t>Five hosts have log rotation configured and not functioning.</w:t>
      </w:r>
      <w:r>
        <w:t xml:space="preserve"> The configuration exists and no rotated files have been produced. Two of those are among the three above 90%. This is the most predictable outage in the estate: a full root filesystem takes everything on the host at once, and the growth rate says two of them reach it within a month.</w:t>
      </w:r>
    </w:p>
    <w:p>
      <w:pPr>
        <w:pStyle w:val="Heading1"/>
      </w:pPr>
      <w:r>
        <w:t>6. Recovery</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p>
        </w:tc>
        <w:tc>
          <w:tcPr>
            <w:tcW w:type="dxa" w:w="4706"/>
            <w:shd w:val="clear" w:color="auto" w:fill="F1EAFE"/>
          </w:tcPr>
          <w:p>
            <w:pPr>
              <w:spacing w:after="40"/>
            </w:pPr>
            <w:r>
              <w:rPr>
                <w:b/>
                <w:sz w:val="18"/>
              </w:rPr>
            </w:r>
            <w:r>
              <w:rPr>
                <w:b/>
                <w:sz w:val="18"/>
              </w:rPr>
              <w:t>Hosts</w:t>
            </w:r>
          </w:p>
        </w:tc>
      </w:tr>
      <w:tr>
        <w:tc>
          <w:tcPr>
            <w:tcW w:type="dxa" w:w="4706"/>
          </w:tcPr>
          <w:p>
            <w:pPr>
              <w:spacing w:after="40"/>
            </w:pPr>
            <w:r>
              <w:rPr>
                <w:sz w:val="18"/>
              </w:rPr>
            </w:r>
            <w:r>
              <w:rPr>
                <w:sz w:val="18"/>
              </w:rPr>
              <w:t>Rebuildable from code</w:t>
            </w:r>
          </w:p>
        </w:tc>
        <w:tc>
          <w:tcPr>
            <w:tcW w:type="dxa" w:w="4706"/>
          </w:tcPr>
          <w:p>
            <w:pPr>
              <w:spacing w:after="40"/>
            </w:pPr>
            <w:r>
              <w:rPr>
                <w:sz w:val="18"/>
              </w:rPr>
            </w:r>
            <w:r>
              <w:rPr>
                <w:sz w:val="18"/>
              </w:rPr>
              <w:t>26</w:t>
            </w:r>
          </w:p>
        </w:tc>
      </w:tr>
      <w:tr>
        <w:tc>
          <w:tcPr>
            <w:tcW w:type="dxa" w:w="4706"/>
          </w:tcPr>
          <w:p>
            <w:pPr>
              <w:spacing w:after="40"/>
            </w:pPr>
            <w:r>
              <w:rPr>
                <w:sz w:val="18"/>
              </w:rPr>
            </w:r>
            <w:r>
              <w:rPr>
                <w:sz w:val="18"/>
              </w:rPr>
              <w:t>Backed up</w:t>
            </w:r>
          </w:p>
        </w:tc>
        <w:tc>
          <w:tcPr>
            <w:tcW w:type="dxa" w:w="4706"/>
          </w:tcPr>
          <w:p>
            <w:pPr>
              <w:spacing w:after="40"/>
            </w:pPr>
            <w:r>
              <w:rPr>
                <w:sz w:val="18"/>
              </w:rPr>
            </w:r>
            <w:r>
              <w:rPr>
                <w:sz w:val="18"/>
              </w:rPr>
              <w:t>38</w:t>
            </w:r>
          </w:p>
        </w:tc>
      </w:tr>
      <w:tr>
        <w:tc>
          <w:tcPr>
            <w:tcW w:type="dxa" w:w="4706"/>
          </w:tcPr>
          <w:p>
            <w:pPr>
              <w:spacing w:after="40"/>
            </w:pPr>
            <w:r>
              <w:rPr>
                <w:sz w:val="18"/>
              </w:rPr>
            </w:r>
            <w:r>
              <w:rPr>
                <w:b/>
                <w:sz w:val="18"/>
              </w:rPr>
              <w:t>Restore actually tested</w:t>
            </w:r>
          </w:p>
        </w:tc>
        <w:tc>
          <w:tcPr>
            <w:tcW w:type="dxa" w:w="4706"/>
          </w:tcPr>
          <w:p>
            <w:pPr>
              <w:spacing w:after="40"/>
            </w:pPr>
            <w:r>
              <w:rPr>
                <w:sz w:val="18"/>
              </w:rPr>
            </w:r>
            <w:r>
              <w:rPr>
                <w:b/>
                <w:sz w:val="18"/>
              </w:rPr>
              <w:t>9</w:t>
            </w:r>
          </w:p>
        </w:tc>
      </w:tr>
      <w:tr>
        <w:tc>
          <w:tcPr>
            <w:tcW w:type="dxa" w:w="4706"/>
          </w:tcPr>
          <w:p>
            <w:pPr>
              <w:spacing w:after="40"/>
            </w:pPr>
            <w:r>
              <w:rPr>
                <w:sz w:val="18"/>
              </w:rPr>
            </w:r>
            <w:r>
              <w:rPr>
                <w:sz w:val="18"/>
              </w:rPr>
              <w:t>Documented purpose and owner</w:t>
            </w:r>
          </w:p>
        </w:tc>
        <w:tc>
          <w:tcPr>
            <w:tcW w:type="dxa" w:w="4706"/>
          </w:tcPr>
          <w:p>
            <w:pPr>
              <w:spacing w:after="40"/>
            </w:pPr>
            <w:r>
              <w:rPr>
                <w:sz w:val="18"/>
              </w:rPr>
            </w:r>
            <w:r>
              <w:rPr>
                <w:sz w:val="18"/>
              </w:rPr>
              <w:t>29</w:t>
            </w:r>
          </w:p>
        </w:tc>
      </w:tr>
      <w:tr>
        <w:tc>
          <w:tcPr>
            <w:tcW w:type="dxa" w:w="4706"/>
          </w:tcPr>
          <w:p>
            <w:pPr>
              <w:spacing w:after="40"/>
            </w:pPr>
            <w:r>
              <w:rPr>
                <w:sz w:val="18"/>
              </w:rPr>
            </w:r>
            <w:r>
              <w:rPr>
                <w:b/>
                <w:sz w:val="18"/>
              </w:rPr>
              <w:t>No identifiable owner</w:t>
            </w:r>
          </w:p>
        </w:tc>
        <w:tc>
          <w:tcPr>
            <w:tcW w:type="dxa" w:w="4706"/>
          </w:tcPr>
          <w:p>
            <w:pPr>
              <w:spacing w:after="40"/>
            </w:pPr>
            <w:r>
              <w:rPr>
                <w:sz w:val="18"/>
              </w:rPr>
            </w:r>
            <w:r>
              <w:rPr>
                <w:b/>
                <w:sz w:val="18"/>
              </w:rPr>
              <w:t>7</w:t>
            </w:r>
          </w:p>
        </w:tc>
      </w:tr>
    </w:tbl>
    <w:p>
      <w:pPr>
        <w:spacing w:after="40"/>
      </w:pPr>
    </w:p>
    <w:p>
      <w:r>
        <w:t>Seven hosts have no owner. Two of them are running services that other systems depend on, so they cannot be switched off, and nobody can say what would break if they were.</w:t>
      </w:r>
    </w:p>
    <w:p>
      <w:pPr>
        <w:pStyle w:val="Heading1"/>
      </w:pPr>
      <w:r>
        <w:t>7. Priority</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When</w:t>
            </w:r>
          </w:p>
        </w:tc>
        <w:tc>
          <w:tcPr>
            <w:tcW w:type="dxa" w:w="4706"/>
            <w:shd w:val="clear" w:color="auto" w:fill="F1EAFE"/>
          </w:tcPr>
          <w:p>
            <w:pPr>
              <w:spacing w:after="40"/>
            </w:pPr>
            <w:r>
              <w:rPr>
                <w:b/>
                <w:sz w:val="18"/>
              </w:rPr>
            </w:r>
            <w:r>
              <w:rPr>
                <w:b/>
                <w:sz w:val="18"/>
              </w:rPr>
              <w:t>Action</w:t>
            </w:r>
          </w:p>
        </w:tc>
      </w:tr>
      <w:tr>
        <w:tc>
          <w:tcPr>
            <w:tcW w:type="dxa" w:w="4706"/>
          </w:tcPr>
          <w:p>
            <w:pPr>
              <w:spacing w:after="40"/>
            </w:pPr>
            <w:r>
              <w:rPr>
                <w:sz w:val="18"/>
              </w:rPr>
            </w:r>
            <w:r>
              <w:rPr>
                <w:sz w:val="18"/>
              </w:rPr>
              <w:t>Today</w:t>
            </w:r>
          </w:p>
        </w:tc>
        <w:tc>
          <w:tcPr>
            <w:tcW w:type="dxa" w:w="4706"/>
          </w:tcPr>
          <w:p>
            <w:pPr>
              <w:spacing w:after="40"/>
            </w:pPr>
            <w:r>
              <w:rPr>
                <w:sz w:val="18"/>
              </w:rPr>
            </w:r>
            <w:r>
              <w:rPr>
                <w:sz w:val="18"/>
              </w:rPr>
              <w:t>Disable password SSH on the internet-facing host, change the queue's default credentials</w:t>
            </w:r>
          </w:p>
        </w:tc>
      </w:tr>
      <w:tr>
        <w:tc>
          <w:tcPr>
            <w:tcW w:type="dxa" w:w="4706"/>
          </w:tcPr>
          <w:p>
            <w:pPr>
              <w:spacing w:after="40"/>
            </w:pPr>
            <w:r>
              <w:rPr>
                <w:sz w:val="18"/>
              </w:rPr>
            </w:r>
            <w:r>
              <w:rPr>
                <w:sz w:val="18"/>
              </w:rPr>
              <w:t>This week</w:t>
            </w:r>
          </w:p>
        </w:tc>
        <w:tc>
          <w:tcPr>
            <w:tcW w:type="dxa" w:w="4706"/>
          </w:tcPr>
          <w:p>
            <w:pPr>
              <w:spacing w:after="40"/>
            </w:pPr>
            <w:r>
              <w:rPr>
                <w:sz w:val="18"/>
              </w:rPr>
            </w:r>
            <w:r>
              <w:rPr>
                <w:sz w:val="18"/>
              </w:rPr>
              <w:t>Remove the 21 departed accounts, fix log rotation on the 5, a second administrative key, held elsewhere</w:t>
            </w:r>
          </w:p>
        </w:tc>
      </w:tr>
      <w:tr>
        <w:tc>
          <w:tcPr>
            <w:tcW w:type="dxa" w:w="4706"/>
          </w:tcPr>
          <w:p>
            <w:pPr>
              <w:spacing w:after="40"/>
            </w:pPr>
            <w:r>
              <w:rPr>
                <w:sz w:val="18"/>
              </w:rPr>
            </w:r>
            <w:r>
              <w:rPr>
                <w:sz w:val="18"/>
              </w:rPr>
              <w:t>This month</w:t>
            </w:r>
          </w:p>
        </w:tc>
        <w:tc>
          <w:tcPr>
            <w:tcW w:type="dxa" w:w="4706"/>
          </w:tcPr>
          <w:p>
            <w:pPr>
              <w:spacing w:after="40"/>
            </w:pPr>
            <w:r>
              <w:rPr>
                <w:sz w:val="18"/>
              </w:rPr>
            </w:r>
            <w:r>
              <w:rPr>
                <w:sz w:val="18"/>
              </w:rPr>
              <w:t>Explain or close the 19 unexplained ports, bind the 14 to localhost, patch the 12</w:t>
            </w:r>
          </w:p>
        </w:tc>
      </w:tr>
      <w:tr>
        <w:tc>
          <w:tcPr>
            <w:tcW w:type="dxa" w:w="4706"/>
          </w:tcPr>
          <w:p>
            <w:pPr>
              <w:spacing w:after="40"/>
            </w:pPr>
            <w:r>
              <w:rPr>
                <w:sz w:val="18"/>
              </w:rPr>
            </w:r>
            <w:r>
              <w:rPr>
                <w:sz w:val="18"/>
              </w:rPr>
              <w:t>This quarter</w:t>
            </w:r>
          </w:p>
        </w:tc>
        <w:tc>
          <w:tcPr>
            <w:tcW w:type="dxa" w:w="4706"/>
          </w:tcPr>
          <w:p>
            <w:pPr>
              <w:spacing w:after="40"/>
            </w:pPr>
            <w:r>
              <w:rPr>
                <w:sz w:val="18"/>
              </w:rPr>
            </w:r>
            <w:r>
              <w:rPr>
                <w:sz w:val="18"/>
              </w:rPr>
              <w:t>Bring the 17 hand-built hosts under configuration management, starting with the 12 unpatched, assign owners to the 7</w:t>
            </w:r>
          </w:p>
        </w:tc>
      </w:tr>
      <w:tr>
        <w:tc>
          <w:tcPr>
            <w:tcW w:type="dxa" w:w="4706"/>
          </w:tcPr>
          <w:p>
            <w:pPr>
              <w:spacing w:after="40"/>
            </w:pPr>
            <w:r>
              <w:rPr>
                <w:sz w:val="18"/>
              </w:rPr>
            </w:r>
            <w:r>
              <w:rPr>
                <w:sz w:val="18"/>
              </w:rPr>
              <w:t>Standing</w:t>
            </w:r>
          </w:p>
        </w:tc>
        <w:tc>
          <w:tcPr>
            <w:tcW w:type="dxa" w:w="4706"/>
          </w:tcPr>
          <w:p>
            <w:pPr>
              <w:spacing w:after="40"/>
            </w:pPr>
            <w:r>
              <w:rPr>
                <w:sz w:val="18"/>
              </w:rPr>
            </w:r>
            <w:r>
              <w:rPr>
                <w:sz w:val="18"/>
              </w:rPr>
              <w:t>Test a restore quarterly, on a rotating host</w:t>
            </w:r>
          </w:p>
        </w:tc>
      </w:tr>
    </w:tbl>
    <w:p>
      <w:pPr>
        <w:spacing w:after="40"/>
      </w:pPr>
    </w:p>
    <w:p>
      <w:r>
        <w:rPr>
          <w:b/>
        </w:rPr>
        <w:t>The quarterly item carries the rest.</w:t>
      </w:r>
      <w:r>
        <w:t xml:space="preserve"> Hand-built hosts are why 12 are unpatched, why 19 ports are unexplained, and why nobody wants to reboot 15 that need it.</w:t>
      </w:r>
    </w:p>
    <w:p>
      <w:r>
        <w:t>---</w:t>
      </w:r>
    </w:p>
    <w:p>
      <w:pPr>
        <w:pStyle w:val="Heading1"/>
      </w:pPr>
      <w:r>
        <w:t>Notes on using this format</w:t>
      </w:r>
    </w:p>
    <w:p>
      <w:r>
        <w:rPr>
          <w:b/>
        </w:rPr>
        <w:t>Check from outside the host.</w:t>
      </w:r>
      <w:r>
        <w:t xml:space="preserve"> Fourteen services bound to all interfaces looked correct in their own configuration files. The exposure is only visible from somewhere else.</w:t>
      </w:r>
    </w:p>
    <w:p>
      <w:r>
        <w:rPr>
          <w:b/>
        </w:rPr>
        <w:t>Correlate findings against reproducibility.</w:t>
      </w:r>
      <w:r>
        <w:t xml:space="preserve"> Every serious finding here clustered on the hosts nobody could rebuild. That correlation turns a list of 60 items into one root cause.</w:t>
      </w:r>
    </w:p>
    <w:p>
      <w:r>
        <w:rPr>
          <w:b/>
        </w:rPr>
        <w:t>Report configured-but-not-working separately from not-configured.</w:t>
      </w:r>
      <w:r>
        <w:t xml:space="preserve"> Five hosts had log rotation configured. A checklist asking "is rotation configured?" would have passed all five.</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Server Estate Audit: Sample</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Server Estate Audit: Sample</dc:title>
  <dc:subject/>
  <dc:creator>BvLogic</dc:creator>
  <cp:keywords>BvLogic, Report, enterprise AI, Server Estate Audit: Sample</cp:keywords>
  <dc:description/>
  <cp:lastModifiedBy/>
  <cp:revision>1</cp:revision>
  <dcterms:created xsi:type="dcterms:W3CDTF">2013-12-23T23:15:00Z</dcterms:created>
  <dcterms:modified xsi:type="dcterms:W3CDTF">2013-12-23T23:15:00Z</dcterms:modified>
  <cp:category>Report</cp:category>
  <dc:language>en-GB</dc:language>
</cp:coreProperties>
</file>