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Legal: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BVL-941071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Contract delta review</w:t>
      </w:r>
    </w:p>
    <w:p>
      <w:r>
        <w:t>One per inbound document. The reviewer reads this, not the contract.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Document and counterparty</w:t>
            </w:r>
          </w:p>
        </w:tc>
        <w:tc>
          <w:tcPr>
            <w:tcW w:type="dxa" w:w="4706"/>
          </w:tcPr>
          <w:p>
            <w:pPr>
              <w:spacing w:after="40"/>
            </w:pPr>
            <w:r>
              <w:rPr>
                <w:sz w:val="18"/>
              </w:rPr>
            </w:r>
          </w:p>
        </w:tc>
      </w:tr>
      <w:tr>
        <w:tc>
          <w:tcPr>
            <w:tcW w:type="dxa" w:w="4706"/>
          </w:tcPr>
          <w:p>
            <w:pPr>
              <w:spacing w:after="40"/>
            </w:pPr>
            <w:r>
              <w:rPr>
                <w:sz w:val="18"/>
              </w:rPr>
            </w:r>
            <w:r>
              <w:rPr>
                <w:sz w:val="18"/>
              </w:rPr>
              <w:t>Value and term</w:t>
            </w:r>
          </w:p>
        </w:tc>
        <w:tc>
          <w:tcPr>
            <w:tcW w:type="dxa" w:w="4706"/>
          </w:tcPr>
          <w:p>
            <w:pPr>
              <w:spacing w:after="40"/>
            </w:pPr>
            <w:r>
              <w:rPr>
                <w:sz w:val="18"/>
              </w:rPr>
            </w:r>
          </w:p>
        </w:tc>
      </w:tr>
      <w:tr>
        <w:tc>
          <w:tcPr>
            <w:tcW w:type="dxa" w:w="4706"/>
          </w:tcPr>
          <w:p>
            <w:pPr>
              <w:spacing w:after="40"/>
            </w:pPr>
            <w:r>
              <w:rPr>
                <w:sz w:val="18"/>
              </w:rPr>
            </w:r>
            <w:r>
              <w:rPr>
                <w:b/>
                <w:sz w:val="18"/>
              </w:rPr>
              <w:t>Deltas from our standard</w:t>
            </w:r>
            <w:r>
              <w:rPr>
                <w:sz w:val="18"/>
              </w:rPr>
              <w:t>, ranked</w:t>
            </w:r>
          </w:p>
        </w:tc>
        <w:tc>
          <w:tcPr>
            <w:tcW w:type="dxa" w:w="4706"/>
          </w:tcPr>
          <w:p>
            <w:pPr>
              <w:spacing w:after="40"/>
            </w:pPr>
            <w:r>
              <w:rPr>
                <w:sz w:val="18"/>
              </w:rPr>
            </w:r>
            <w:r>
              <w:rPr>
                <w:sz w:val="18"/>
              </w:rPr>
              <w:t>[The negotiation lives here]</w:t>
            </w:r>
          </w:p>
        </w:tc>
      </w:tr>
      <w:tr>
        <w:tc>
          <w:tcPr>
            <w:tcW w:type="dxa" w:w="4706"/>
          </w:tcPr>
          <w:p>
            <w:pPr>
              <w:spacing w:after="40"/>
            </w:pPr>
            <w:r>
              <w:rPr>
                <w:sz w:val="18"/>
              </w:rPr>
            </w:r>
            <w:r>
              <w:rPr>
                <w:sz w:val="18"/>
              </w:rPr>
              <w:t>Liability cap</w:t>
            </w:r>
          </w:p>
        </w:tc>
        <w:tc>
          <w:tcPr>
            <w:tcW w:type="dxa" w:w="4706"/>
          </w:tcPr>
          <w:p>
            <w:pPr>
              <w:spacing w:after="40"/>
            </w:pPr>
            <w:r>
              <w:rPr>
                <w:sz w:val="18"/>
              </w:rPr>
            </w:r>
            <w:r>
              <w:rPr>
                <w:sz w:val="18"/>
              </w:rPr>
              <w:t xml:space="preserve">[Amount, or </w:t>
            </w:r>
            <w:r>
              <w:rPr>
                <w:b/>
                <w:sz w:val="18"/>
              </w:rPr>
              <w:t>UNCAPPED</w:t>
            </w:r>
            <w:r>
              <w:rPr>
                <w:sz w:val="18"/>
              </w:rPr>
              <w:t>, which is never accepted silently]</w:t>
            </w:r>
          </w:p>
        </w:tc>
      </w:tr>
      <w:tr>
        <w:tc>
          <w:tcPr>
            <w:tcW w:type="dxa" w:w="4706"/>
          </w:tcPr>
          <w:p>
            <w:pPr>
              <w:spacing w:after="40"/>
            </w:pPr>
            <w:r>
              <w:rPr>
                <w:sz w:val="18"/>
              </w:rPr>
            </w:r>
            <w:r>
              <w:rPr>
                <w:sz w:val="18"/>
              </w:rPr>
              <w:t>Indemnities given</w:t>
            </w:r>
          </w:p>
        </w:tc>
        <w:tc>
          <w:tcPr>
            <w:tcW w:type="dxa" w:w="4706"/>
          </w:tcPr>
          <w:p>
            <w:pPr>
              <w:spacing w:after="40"/>
            </w:pPr>
            <w:r>
              <w:rPr>
                <w:sz w:val="18"/>
              </w:rPr>
            </w:r>
            <w:r>
              <w:rPr>
                <w:sz w:val="18"/>
              </w:rPr>
              <w:t>[And what they would cost if called]</w:t>
            </w:r>
          </w:p>
        </w:tc>
      </w:tr>
      <w:tr>
        <w:tc>
          <w:tcPr>
            <w:tcW w:type="dxa" w:w="4706"/>
          </w:tcPr>
          <w:p>
            <w:pPr>
              <w:spacing w:after="40"/>
            </w:pPr>
            <w:r>
              <w:rPr>
                <w:sz w:val="18"/>
              </w:rPr>
            </w:r>
            <w:r>
              <w:rPr>
                <w:sz w:val="18"/>
              </w:rPr>
              <w:t>Termination rights</w:t>
            </w:r>
          </w:p>
        </w:tc>
        <w:tc>
          <w:tcPr>
            <w:tcW w:type="dxa" w:w="4706"/>
          </w:tcPr>
          <w:p>
            <w:pPr>
              <w:spacing w:after="40"/>
            </w:pPr>
            <w:r>
              <w:rPr>
                <w:sz w:val="18"/>
              </w:rPr>
            </w:r>
            <w:r>
              <w:rPr>
                <w:sz w:val="18"/>
              </w:rPr>
              <w:t>[Ours, theirs, notice period]</w:t>
            </w:r>
          </w:p>
        </w:tc>
      </w:tr>
      <w:tr>
        <w:tc>
          <w:tcPr>
            <w:tcW w:type="dxa" w:w="4706"/>
          </w:tcPr>
          <w:p>
            <w:pPr>
              <w:spacing w:after="40"/>
            </w:pPr>
            <w:r>
              <w:rPr>
                <w:sz w:val="18"/>
              </w:rPr>
            </w:r>
            <w:r>
              <w:rPr>
                <w:b/>
                <w:sz w:val="18"/>
              </w:rPr>
              <w:t>Auto-renewal</w:t>
            </w:r>
          </w:p>
        </w:tc>
        <w:tc>
          <w:tcPr>
            <w:tcW w:type="dxa" w:w="4706"/>
          </w:tcPr>
          <w:p>
            <w:pPr>
              <w:spacing w:after="40"/>
            </w:pPr>
            <w:r>
              <w:rPr>
                <w:sz w:val="18"/>
              </w:rPr>
            </w:r>
            <w:r>
              <w:rPr>
                <w:sz w:val="18"/>
              </w:rPr>
              <w:t>[Yes or no. If yes, diarised 90 days ahead at signature]</w:t>
            </w:r>
          </w:p>
        </w:tc>
      </w:tr>
      <w:tr>
        <w:tc>
          <w:tcPr>
            <w:tcW w:type="dxa" w:w="4706"/>
          </w:tcPr>
          <w:p>
            <w:pPr>
              <w:spacing w:after="40"/>
            </w:pPr>
            <w:r>
              <w:rPr>
                <w:sz w:val="18"/>
              </w:rPr>
            </w:r>
            <w:r>
              <w:rPr>
                <w:sz w:val="18"/>
              </w:rPr>
              <w:t>Data processing</w:t>
            </w:r>
          </w:p>
        </w:tc>
        <w:tc>
          <w:tcPr>
            <w:tcW w:type="dxa" w:w="4706"/>
          </w:tcPr>
          <w:p>
            <w:pPr>
              <w:spacing w:after="40"/>
            </w:pPr>
            <w:r>
              <w:rPr>
                <w:sz w:val="18"/>
              </w:rPr>
            </w:r>
            <w:r>
              <w:rPr>
                <w:sz w:val="18"/>
              </w:rPr>
              <w:t xml:space="preserve">[Present, absent, or </w:t>
            </w:r>
            <w:r>
              <w:rPr>
                <w:b/>
                <w:sz w:val="18"/>
              </w:rPr>
              <w:t>blocking</w:t>
            </w:r>
            <w:r>
              <w:rPr>
                <w:sz w:val="18"/>
              </w:rPr>
              <w:t xml:space="preserve"> if personal data is involved]</w:t>
            </w:r>
          </w:p>
        </w:tc>
      </w:tr>
      <w:tr>
        <w:tc>
          <w:tcPr>
            <w:tcW w:type="dxa" w:w="4706"/>
          </w:tcPr>
          <w:p>
            <w:pPr>
              <w:spacing w:after="40"/>
            </w:pPr>
            <w:r>
              <w:rPr>
                <w:sz w:val="18"/>
              </w:rPr>
            </w:r>
            <w:r>
              <w:rPr>
                <w:sz w:val="18"/>
              </w:rPr>
              <w:t>Governing law</w:t>
            </w:r>
          </w:p>
        </w:tc>
        <w:tc>
          <w:tcPr>
            <w:tcW w:type="dxa" w:w="4706"/>
          </w:tcPr>
          <w:p>
            <w:pPr>
              <w:spacing w:after="40"/>
            </w:pPr>
            <w:r>
              <w:rPr>
                <w:sz w:val="18"/>
              </w:rPr>
            </w:r>
            <w:r>
              <w:rPr>
                <w:sz w:val="18"/>
              </w:rPr>
              <w:t>[And whether enforcement there is realistic]</w:t>
            </w:r>
          </w:p>
        </w:tc>
      </w:tr>
      <w:tr>
        <w:tc>
          <w:tcPr>
            <w:tcW w:type="dxa" w:w="4706"/>
          </w:tcPr>
          <w:p>
            <w:pPr>
              <w:spacing w:after="40"/>
            </w:pPr>
            <w:r>
              <w:rPr>
                <w:sz w:val="18"/>
              </w:rPr>
            </w:r>
            <w:r>
              <w:rPr>
                <w:b/>
                <w:sz w:val="18"/>
              </w:rPr>
              <w:t>What is absent</w:t>
            </w:r>
          </w:p>
        </w:tc>
        <w:tc>
          <w:tcPr>
            <w:tcW w:type="dxa" w:w="4706"/>
          </w:tcPr>
          <w:p>
            <w:pPr>
              <w:spacing w:after="40"/>
            </w:pPr>
            <w:r>
              <w:rPr>
                <w:sz w:val="18"/>
              </w:rPr>
            </w:r>
            <w:r>
              <w:rPr>
                <w:sz w:val="18"/>
              </w:rPr>
              <w:t>[The most valuable row. An absence reads as agreement]</w:t>
            </w:r>
          </w:p>
        </w:tc>
      </w:tr>
      <w:tr>
        <w:tc>
          <w:tcPr>
            <w:tcW w:type="dxa" w:w="4706"/>
          </w:tcPr>
          <w:p>
            <w:pPr>
              <w:spacing w:after="40"/>
            </w:pPr>
            <w:r>
              <w:rPr>
                <w:sz w:val="18"/>
              </w:rPr>
            </w:r>
            <w:r>
              <w:rPr>
                <w:sz w:val="18"/>
              </w:rPr>
              <w:t>Reviewer</w:t>
            </w:r>
          </w:p>
        </w:tc>
        <w:tc>
          <w:tcPr>
            <w:tcW w:type="dxa" w:w="4706"/>
          </w:tcPr>
          <w:p>
            <w:pPr>
              <w:spacing w:after="40"/>
            </w:pPr>
            <w:r>
              <w:rPr>
                <w:sz w:val="18"/>
              </w:rPr>
            </w:r>
            <w:r>
              <w:rPr>
                <w:sz w:val="18"/>
              </w:rPr>
              <w:t>[A qualified person. The extraction is not the review]</w:t>
            </w:r>
          </w:p>
        </w:tc>
      </w:tr>
      <w:tr>
        <w:tc>
          <w:tcPr>
            <w:tcW w:type="dxa" w:w="4706"/>
          </w:tcPr>
          <w:p>
            <w:pPr>
              <w:spacing w:after="40"/>
            </w:pPr>
            <w:r>
              <w:rPr>
                <w:sz w:val="18"/>
              </w:rPr>
            </w:r>
            <w:r>
              <w:rPr>
                <w:sz w:val="18"/>
              </w:rPr>
              <w:t>Recommendation</w:t>
            </w:r>
          </w:p>
        </w:tc>
        <w:tc>
          <w:tcPr>
            <w:tcW w:type="dxa" w:w="4706"/>
          </w:tcPr>
          <w:p>
            <w:pPr>
              <w:spacing w:after="40"/>
            </w:pPr>
            <w:r>
              <w:rPr>
                <w:sz w:val="18"/>
              </w:rPr>
            </w:r>
          </w:p>
        </w:tc>
      </w:tr>
    </w:tbl>
    <w:p>
      <w:pPr>
        <w:spacing w:after="40"/>
      </w:pPr>
    </w:p>
    <w:p>
      <w:pPr>
        <w:pStyle w:val="Heading1"/>
      </w:pPr>
      <w:r>
        <w:t>2. Obligation register</w:t>
      </w:r>
    </w:p>
    <w:p>
      <w:r>
        <w:t xml:space="preserve">Completed </w:t>
      </w:r>
      <w:r>
        <w:rPr>
          <w:b/>
        </w:rPr>
        <w:t>at signature</w:t>
      </w:r>
      <w:r>
        <w:t>, not later. One row per thing we now have to do.</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Obligation</w:t>
            </w:r>
          </w:p>
        </w:tc>
        <w:tc>
          <w:tcPr>
            <w:tcW w:type="dxa" w:w="1569"/>
            <w:shd w:val="clear" w:color="auto" w:fill="F1EAFE"/>
          </w:tcPr>
          <w:p>
            <w:pPr>
              <w:spacing w:after="40"/>
            </w:pPr>
            <w:r>
              <w:rPr>
                <w:b/>
                <w:sz w:val="18"/>
              </w:rPr>
            </w:r>
            <w:r>
              <w:rPr>
                <w:b/>
                <w:sz w:val="18"/>
              </w:rPr>
              <w:t>Source clause</w:t>
            </w:r>
          </w:p>
        </w:tc>
        <w:tc>
          <w:tcPr>
            <w:tcW w:type="dxa" w:w="1569"/>
            <w:shd w:val="clear" w:color="auto" w:fill="F1EAFE"/>
          </w:tcPr>
          <w:p>
            <w:pPr>
              <w:spacing w:after="40"/>
            </w:pPr>
            <w:r>
              <w:rPr>
                <w:b/>
                <w:sz w:val="18"/>
              </w:rPr>
            </w:r>
            <w:r>
              <w:rPr>
                <w:b/>
                <w:sz w:val="18"/>
              </w:rPr>
              <w:t>Owner</w:t>
            </w:r>
          </w:p>
        </w:tc>
        <w:tc>
          <w:tcPr>
            <w:tcW w:type="dxa" w:w="1569"/>
            <w:shd w:val="clear" w:color="auto" w:fill="F1EAFE"/>
          </w:tcPr>
          <w:p>
            <w:pPr>
              <w:spacing w:after="40"/>
            </w:pPr>
            <w:r>
              <w:rPr>
                <w:b/>
                <w:sz w:val="18"/>
              </w:rPr>
            </w:r>
            <w:r>
              <w:rPr>
                <w:b/>
                <w:sz w:val="18"/>
              </w:rPr>
              <w:t>Frequency</w:t>
            </w:r>
          </w:p>
        </w:tc>
        <w:tc>
          <w:tcPr>
            <w:tcW w:type="dxa" w:w="1569"/>
            <w:shd w:val="clear" w:color="auto" w:fill="F1EAFE"/>
          </w:tcPr>
          <w:p>
            <w:pPr>
              <w:spacing w:after="40"/>
            </w:pPr>
            <w:r>
              <w:rPr>
                <w:b/>
                <w:sz w:val="18"/>
              </w:rPr>
            </w:r>
            <w:r>
              <w:rPr>
                <w:b/>
                <w:sz w:val="18"/>
              </w:rPr>
              <w:t>Next due</w:t>
            </w:r>
          </w:p>
        </w:tc>
        <w:tc>
          <w:tcPr>
            <w:tcW w:type="dxa" w:w="1569"/>
            <w:shd w:val="clear" w:color="auto" w:fill="F1EAFE"/>
          </w:tcPr>
          <w:p>
            <w:pPr>
              <w:spacing w:after="40"/>
            </w:pPr>
            <w:r>
              <w:rPr>
                <w:b/>
                <w:sz w:val="18"/>
              </w:rPr>
            </w:r>
            <w:r>
              <w:rPr>
                <w:b/>
                <w:sz w:val="18"/>
              </w:rPr>
              <w:t>Evidence kept</w:t>
            </w:r>
          </w:p>
        </w:tc>
      </w:tr>
      <w:tr>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[A name]</w:t>
            </w:r>
          </w:p>
        </w:tc>
        <w:tc>
          <w:tcPr>
            <w:tcW w:type="dxa" w:w="1569"/>
          </w:tcPr>
          <w:p>
            <w:pPr>
              <w:spacing w:after="40"/>
            </w:pPr>
            <w:r>
              <w:rPr>
                <w:sz w:val="18"/>
              </w:rPr>
            </w:r>
            <w:r>
              <w:rPr>
                <w:sz w:val="18"/>
              </w:rPr>
              <w:t>[Once / monthly / on event]</w:t>
            </w:r>
          </w:p>
        </w:tc>
        <w:tc>
          <w:tcPr>
            <w:tcW w:type="dxa" w:w="1569"/>
          </w:tcPr>
          <w:p>
            <w:pPr>
              <w:spacing w:after="40"/>
            </w:pPr>
            <w:r>
              <w:rPr>
                <w:sz w:val="18"/>
              </w:rPr>
            </w:r>
          </w:p>
        </w:tc>
        <w:tc>
          <w:tcPr>
            <w:tcW w:type="dxa" w:w="1569"/>
          </w:tcPr>
          <w:p>
            <w:pPr>
              <w:spacing w:after="40"/>
            </w:pPr>
            <w:r>
              <w:rPr>
                <w:sz w:val="18"/>
              </w:rPr>
            </w:r>
            <w:r>
              <w:rPr>
                <w:sz w:val="18"/>
              </w:rPr>
              <w:t>[Where]</w:t>
            </w:r>
          </w:p>
        </w:tc>
      </w:tr>
    </w:tbl>
    <w:p>
      <w:pPr>
        <w:spacing w:after="40"/>
      </w:pPr>
    </w:p>
    <w:p>
      <w:r>
        <w:rPr>
          <w:b/>
        </w:rPr>
        <w:t>Most contractual failures are unassigned obligations</w:t>
      </w:r>
      <w:r>
        <w:t>, not disputed interpretations. A register with an owner against every row removes the whole category.</w:t>
      </w:r>
    </w:p>
    <w:p>
      <w:pPr>
        <w:pStyle w:val="Heading1"/>
      </w:pPr>
      <w:r>
        <w:t>3. Risk acceptance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Risk</w:t>
            </w:r>
          </w:p>
        </w:tc>
        <w:tc>
          <w:tcPr>
            <w:tcW w:type="dxa" w:w="4706"/>
          </w:tcPr>
          <w:p>
            <w:pPr>
              <w:spacing w:after="40"/>
            </w:pPr>
            <w:r>
              <w:rPr>
                <w:sz w:val="18"/>
              </w:rPr>
            </w:r>
            <w:r>
              <w:rPr>
                <w:sz w:val="18"/>
              </w:rPr>
              <w:t>[Specifically. "Some liability exposure" is not a risk statement]</w:t>
            </w:r>
          </w:p>
        </w:tc>
      </w:tr>
      <w:tr>
        <w:tc>
          <w:tcPr>
            <w:tcW w:type="dxa" w:w="4706"/>
          </w:tcPr>
          <w:p>
            <w:pPr>
              <w:spacing w:after="40"/>
            </w:pPr>
            <w:r>
              <w:rPr>
                <w:sz w:val="18"/>
              </w:rPr>
            </w:r>
            <w:r>
              <w:rPr>
                <w:sz w:val="18"/>
              </w:rPr>
              <w:t>Worst realistic cost</w:t>
            </w:r>
          </w:p>
        </w:tc>
        <w:tc>
          <w:tcPr>
            <w:tcW w:type="dxa" w:w="4706"/>
          </w:tcPr>
          <w:p>
            <w:pPr>
              <w:spacing w:after="40"/>
            </w:pPr>
            <w:r>
              <w:rPr>
                <w:sz w:val="18"/>
              </w:rPr>
            </w:r>
            <w:r>
              <w:rPr>
                <w:sz w:val="18"/>
              </w:rPr>
              <w:t>[A number, even a rough one]</w:t>
            </w:r>
          </w:p>
        </w:tc>
      </w:tr>
      <w:tr>
        <w:tc>
          <w:tcPr>
            <w:tcW w:type="dxa" w:w="4706"/>
          </w:tcPr>
          <w:p>
            <w:pPr>
              <w:spacing w:after="40"/>
            </w:pPr>
            <w:r>
              <w:rPr>
                <w:sz w:val="18"/>
              </w:rPr>
            </w:r>
            <w:r>
              <w:rPr>
                <w:sz w:val="18"/>
              </w:rPr>
              <w:t>Why we are accepting it</w:t>
            </w:r>
          </w:p>
        </w:tc>
        <w:tc>
          <w:tcPr>
            <w:tcW w:type="dxa" w:w="4706"/>
          </w:tcPr>
          <w:p>
            <w:pPr>
              <w:spacing w:after="40"/>
            </w:pPr>
            <w:r>
              <w:rPr>
                <w:sz w:val="18"/>
              </w:rPr>
            </w:r>
          </w:p>
        </w:tc>
      </w:tr>
      <w:tr>
        <w:tc>
          <w:tcPr>
            <w:tcW w:type="dxa" w:w="4706"/>
          </w:tcPr>
          <w:p>
            <w:pPr>
              <w:spacing w:after="40"/>
            </w:pPr>
            <w:r>
              <w:rPr>
                <w:sz w:val="18"/>
              </w:rPr>
            </w:r>
            <w:r>
              <w:rPr>
                <w:sz w:val="18"/>
              </w:rPr>
              <w:t>Alternatives considered</w:t>
            </w:r>
          </w:p>
        </w:tc>
        <w:tc>
          <w:tcPr>
            <w:tcW w:type="dxa" w:w="4706"/>
          </w:tcPr>
          <w:p>
            <w:pPr>
              <w:spacing w:after="40"/>
            </w:pPr>
            <w:r>
              <w:rPr>
                <w:sz w:val="18"/>
              </w:rPr>
            </w:r>
          </w:p>
        </w:tc>
      </w:tr>
      <w:tr>
        <w:tc>
          <w:tcPr>
            <w:tcW w:type="dxa" w:w="4706"/>
          </w:tcPr>
          <w:p>
            <w:pPr>
              <w:spacing w:after="40"/>
            </w:pPr>
            <w:r>
              <w:rPr>
                <w:sz w:val="18"/>
              </w:rPr>
            </w:r>
            <w:r>
              <w:rPr>
                <w:b/>
                <w:sz w:val="18"/>
              </w:rPr>
              <w:t>Accepted by</w:t>
            </w:r>
          </w:p>
        </w:tc>
        <w:tc>
          <w:tcPr>
            <w:tcW w:type="dxa" w:w="4706"/>
          </w:tcPr>
          <w:p>
            <w:pPr>
              <w:spacing w:after="40"/>
            </w:pPr>
            <w:r>
              <w:rPr>
                <w:sz w:val="18"/>
              </w:rPr>
            </w:r>
            <w:r>
              <w:rPr>
                <w:sz w:val="18"/>
              </w:rPr>
              <w:t>[Someone with authority to carry it, and not the person who wants the deal]</w:t>
            </w:r>
          </w:p>
        </w:tc>
      </w:tr>
      <w:tr>
        <w:tc>
          <w:tcPr>
            <w:tcW w:type="dxa" w:w="4706"/>
          </w:tcPr>
          <w:p>
            <w:pPr>
              <w:spacing w:after="40"/>
            </w:pPr>
            <w:r>
              <w:rPr>
                <w:sz w:val="18"/>
              </w:rPr>
            </w:r>
            <w:r>
              <w:rPr>
                <w:sz w:val="18"/>
              </w:rPr>
              <w:t>Date</w:t>
            </w:r>
          </w:p>
        </w:tc>
        <w:tc>
          <w:tcPr>
            <w:tcW w:type="dxa" w:w="4706"/>
          </w:tcPr>
          <w:p>
            <w:pPr>
              <w:spacing w:after="40"/>
            </w:pPr>
            <w:r>
              <w:rPr>
                <w:sz w:val="18"/>
              </w:rPr>
            </w:r>
          </w:p>
        </w:tc>
      </w:tr>
      <w:tr>
        <w:tc>
          <w:tcPr>
            <w:tcW w:type="dxa" w:w="4706"/>
          </w:tcPr>
          <w:p>
            <w:pPr>
              <w:spacing w:after="40"/>
            </w:pPr>
            <w:r>
              <w:rPr>
                <w:sz w:val="18"/>
              </w:rPr>
            </w:r>
            <w:r>
              <w:rPr>
                <w:b/>
                <w:sz w:val="18"/>
              </w:rPr>
              <w:t>Expires</w:t>
            </w:r>
          </w:p>
        </w:tc>
        <w:tc>
          <w:tcPr>
            <w:tcW w:type="dxa" w:w="4706"/>
          </w:tcPr>
          <w:p>
            <w:pPr>
              <w:spacing w:after="40"/>
            </w:pPr>
            <w:r>
              <w:rPr>
                <w:sz w:val="18"/>
              </w:rPr>
            </w:r>
            <w:r>
              <w:rPr>
                <w:sz w:val="18"/>
              </w:rPr>
              <w:t>[A date. Without one, this is a permanent decision nobody admitted making]</w:t>
            </w:r>
          </w:p>
        </w:tc>
      </w:tr>
    </w:tbl>
    <w:p>
      <w:pPr>
        <w:spacing w:after="40"/>
      </w:pPr>
    </w:p>
    <w:p>
      <w:pPr>
        <w:pStyle w:val="Heading1"/>
      </w:pPr>
      <w:r>
        <w:t>4. Regulatory applicability decision</w:t>
      </w:r>
    </w:p>
    <w:p>
      <w:r>
        <w:t>One per regulation considered. Recorded whichever way it lands.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Regulation</w:t>
            </w:r>
          </w:p>
        </w:tc>
        <w:tc>
          <w:tcPr>
            <w:tcW w:type="dxa" w:w="4706"/>
          </w:tcPr>
          <w:p>
            <w:pPr>
              <w:spacing w:after="40"/>
            </w:pPr>
            <w:r>
              <w:rPr>
                <w:sz w:val="18"/>
              </w:rPr>
            </w:r>
            <w:r>
              <w:rPr>
                <w:sz w:val="18"/>
              </w:rPr>
              <w:t xml:space="preserve">[With the </w:t>
            </w:r>
            <w:r>
              <w:rPr>
                <w:b/>
                <w:sz w:val="18"/>
              </w:rPr>
              <w:t>primary source</w:t>
            </w:r>
            <w:r>
              <w:rPr>
                <w:sz w:val="18"/>
              </w:rPr>
              <w:t xml:space="preserve"> linked, not a summary]</w:t>
            </w:r>
          </w:p>
        </w:tc>
      </w:tr>
      <w:tr>
        <w:tc>
          <w:tcPr>
            <w:tcW w:type="dxa" w:w="4706"/>
          </w:tcPr>
          <w:p>
            <w:pPr>
              <w:spacing w:after="40"/>
            </w:pPr>
            <w:r>
              <w:rPr>
                <w:sz w:val="18"/>
              </w:rPr>
            </w:r>
            <w:r>
              <w:rPr>
                <w:sz w:val="18"/>
              </w:rPr>
              <w:t>In force from</w:t>
            </w:r>
          </w:p>
        </w:tc>
        <w:tc>
          <w:tcPr>
            <w:tcW w:type="dxa" w:w="4706"/>
          </w:tcPr>
          <w:p>
            <w:pPr>
              <w:spacing w:after="40"/>
            </w:pPr>
            <w:r>
              <w:rPr>
                <w:sz w:val="18"/>
              </w:rPr>
            </w:r>
          </w:p>
        </w:tc>
      </w:tr>
      <w:tr>
        <w:tc>
          <w:tcPr>
            <w:tcW w:type="dxa" w:w="4706"/>
          </w:tcPr>
          <w:p>
            <w:pPr>
              <w:spacing w:after="40"/>
            </w:pPr>
            <w:r>
              <w:rPr>
                <w:sz w:val="18"/>
              </w:rPr>
            </w:r>
            <w:r>
              <w:rPr>
                <w:sz w:val="18"/>
              </w:rPr>
              <w:t>Does it apply to us?</w:t>
            </w:r>
          </w:p>
        </w:tc>
        <w:tc>
          <w:tcPr>
            <w:tcW w:type="dxa" w:w="4706"/>
          </w:tcPr>
          <w:p>
            <w:pPr>
              <w:spacing w:after="40"/>
            </w:pPr>
            <w:r>
              <w:rPr>
                <w:sz w:val="18"/>
              </w:rPr>
            </w:r>
            <w:r>
              <w:rPr>
                <w:sz w:val="18"/>
              </w:rPr>
              <w:t>[Yes / No / Partly]</w:t>
            </w:r>
          </w:p>
        </w:tc>
      </w:tr>
      <w:tr>
        <w:tc>
          <w:tcPr>
            <w:tcW w:type="dxa" w:w="4706"/>
          </w:tcPr>
          <w:p>
            <w:pPr>
              <w:spacing w:after="40"/>
            </w:pPr>
            <w:r>
              <w:rPr>
                <w:sz w:val="18"/>
              </w:rPr>
            </w:r>
            <w:r>
              <w:rPr>
                <w:b/>
                <w:sz w:val="18"/>
              </w:rPr>
              <w:t>Reasoning</w:t>
            </w:r>
          </w:p>
        </w:tc>
        <w:tc>
          <w:tcPr>
            <w:tcW w:type="dxa" w:w="4706"/>
          </w:tcPr>
          <w:p>
            <w:pPr>
              <w:spacing w:after="40"/>
            </w:pPr>
            <w:r>
              <w:rPr>
                <w:sz w:val="18"/>
              </w:rPr>
            </w:r>
            <w:r>
              <w:rPr>
                <w:sz w:val="18"/>
              </w:rPr>
              <w:t>[Recorded either way. A no without reasoning gets reopened every quarter]</w:t>
            </w:r>
          </w:p>
        </w:tc>
      </w:tr>
      <w:tr>
        <w:tc>
          <w:tcPr>
            <w:tcW w:type="dxa" w:w="4706"/>
          </w:tcPr>
          <w:p>
            <w:pPr>
              <w:spacing w:after="40"/>
            </w:pPr>
            <w:r>
              <w:rPr>
                <w:sz w:val="18"/>
              </w:rPr>
            </w:r>
            <w:r>
              <w:rPr>
                <w:sz w:val="18"/>
              </w:rPr>
              <w:t>If yes, what must change</w:t>
            </w:r>
          </w:p>
        </w:tc>
        <w:tc>
          <w:tcPr>
            <w:tcW w:type="dxa" w:w="4706"/>
          </w:tcPr>
          <w:p>
            <w:pPr>
              <w:spacing w:after="40"/>
            </w:pPr>
            <w:r>
              <w:rPr>
                <w:sz w:val="18"/>
              </w:rPr>
            </w:r>
            <w:r>
              <w:rPr>
                <w:sz w:val="18"/>
              </w:rPr>
              <w:t>[Concrete and testable]</w:t>
            </w:r>
          </w:p>
        </w:tc>
      </w:tr>
      <w:tr>
        <w:tc>
          <w:tcPr>
            <w:tcW w:type="dxa" w:w="4706"/>
          </w:tcPr>
          <w:p>
            <w:pPr>
              <w:spacing w:after="40"/>
            </w:pPr>
            <w:r>
              <w:rPr>
                <w:sz w:val="18"/>
              </w:rPr>
            </w:r>
            <w:r>
              <w:rPr>
                <w:sz w:val="18"/>
              </w:rPr>
              <w:t>Owner</w:t>
            </w:r>
          </w:p>
        </w:tc>
        <w:tc>
          <w:tcPr>
            <w:tcW w:type="dxa" w:w="4706"/>
          </w:tcPr>
          <w:p>
            <w:pPr>
              <w:spacing w:after="40"/>
            </w:pPr>
            <w:r>
              <w:rPr>
                <w:sz w:val="18"/>
              </w:rPr>
            </w:r>
          </w:p>
        </w:tc>
      </w:tr>
      <w:tr>
        <w:tc>
          <w:tcPr>
            <w:tcW w:type="dxa" w:w="4706"/>
          </w:tcPr>
          <w:p>
            <w:pPr>
              <w:spacing w:after="40"/>
            </w:pPr>
            <w:r>
              <w:rPr>
                <w:sz w:val="18"/>
              </w:rPr>
            </w:r>
            <w:r>
              <w:rPr>
                <w:sz w:val="18"/>
              </w:rPr>
              <w:t>Deadline</w:t>
            </w:r>
          </w:p>
        </w:tc>
        <w:tc>
          <w:tcPr>
            <w:tcW w:type="dxa" w:w="4706"/>
          </w:tcPr>
          <w:p>
            <w:pPr>
              <w:spacing w:after="40"/>
            </w:pPr>
            <w:r>
              <w:rPr>
                <w:sz w:val="18"/>
              </w:rPr>
            </w:r>
          </w:p>
        </w:tc>
      </w:tr>
      <w:tr>
        <w:tc>
          <w:tcPr>
            <w:tcW w:type="dxa" w:w="4706"/>
          </w:tcPr>
          <w:p>
            <w:pPr>
              <w:spacing w:after="40"/>
            </w:pPr>
            <w:r>
              <w:rPr>
                <w:sz w:val="18"/>
              </w:rPr>
            </w:r>
            <w:r>
              <w:rPr>
                <w:sz w:val="18"/>
              </w:rPr>
              <w:t>Reviewed by</w:t>
            </w:r>
          </w:p>
        </w:tc>
        <w:tc>
          <w:tcPr>
            <w:tcW w:type="dxa" w:w="4706"/>
          </w:tcPr>
          <w:p>
            <w:pPr>
              <w:spacing w:after="40"/>
            </w:pPr>
            <w:r>
              <w:rPr>
                <w:sz w:val="18"/>
              </w:rPr>
            </w:r>
            <w:r>
              <w:rPr>
                <w:sz w:val="18"/>
              </w:rPr>
              <w:t>[A qualified person, reading the source]</w:t>
            </w:r>
          </w:p>
        </w:tc>
      </w:tr>
      <w:tr>
        <w:tc>
          <w:tcPr>
            <w:tcW w:type="dxa" w:w="4706"/>
          </w:tcPr>
          <w:p>
            <w:pPr>
              <w:spacing w:after="40"/>
            </w:pPr>
            <w:r>
              <w:rPr>
                <w:sz w:val="18"/>
              </w:rPr>
            </w:r>
            <w:r>
              <w:rPr>
                <w:sz w:val="18"/>
              </w:rPr>
              <w:t>Date checked</w:t>
            </w:r>
          </w:p>
        </w:tc>
        <w:tc>
          <w:tcPr>
            <w:tcW w:type="dxa" w:w="4706"/>
          </w:tcPr>
          <w:p>
            <w:pPr>
              <w:spacing w:after="40"/>
            </w:pPr>
            <w:r>
              <w:rPr>
                <w:sz w:val="18"/>
              </w:rPr>
            </w:r>
            <w:r>
              <w:rPr>
                <w:sz w:val="18"/>
              </w:rPr>
              <w:t>[Regulatory positions decay. This row is how we know when to look again]</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(bvlogic.com/ai-company/legal/)</w:t>
      </w:r>
      <w:r>
        <w:t xml:space="preserve"> sets out what Legal owns, the </w:t>
      </w:r>
      <w:r>
        <w:rPr>
          <w:color w:val="7C3AED"/>
          <w:u w:val="single"/>
        </w:rPr>
        <w:t>SOPs</w:t>
      </w:r>
      <w:r>
        <w:rPr>
          <w:sz w:val="17"/>
        </w:rPr>
        <w:t xml:space="preserve"> (bvlogic.com/ai-company/legal/sop/)</w:t>
      </w:r>
      <w:r>
        <w:t xml:space="preserve"> say when each is produced, the </w:t>
      </w:r>
      <w:r>
        <w:rPr>
          <w:color w:val="7C3AED"/>
          <w:u w:val="single"/>
        </w:rPr>
        <w:t>KPIs</w:t>
      </w:r>
      <w:r>
        <w:rPr>
          <w:sz w:val="17"/>
        </w:rPr>
        <w:t xml:space="preserve"> (bvlogic.com/ai-company/legal/kpi/)</w:t>
      </w:r>
      <w:r>
        <w:t xml:space="preserve"> define what the obligation register feeds, and the </w:t>
      </w:r>
      <w:r>
        <w:rPr>
          <w:color w:val="7C3AED"/>
          <w:u w:val="single"/>
        </w:rPr>
        <w:t>workflows</w:t>
      </w:r>
      <w:r>
        <w:rPr>
          <w:sz w:val="17"/>
        </w:rPr>
        <w:t xml:space="preserve"> (bvlogic.com/ai-company/legal/workflow/)</w:t>
      </w:r>
      <w:r>
        <w:t xml:space="preserve"> name who receives each output. A delta review with a blank "what is absent" row has not been done.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Legal: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the working templates</dc:title>
  <dc:subject/>
  <dc:creator>BvLogic</dc:creator>
  <cp:keywords>BvLogic, Template, enterprise AI, Legal: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