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SOP</w:t>
      </w:r>
    </w:p>
    <w:p>
      <w:pPr>
        <w:spacing w:after="160"/>
      </w:pPr>
      <w:r>
        <w:rPr>
          <w:rFonts w:ascii="Georgia" w:hAnsi="Georgia"/>
          <w:b/>
          <w:color w:val="0F141A"/>
          <w:sz w:val="56"/>
        </w:rPr>
        <w:t>Legal: standard operating procedures</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BVL-6AF871</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Sop</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pPr>
        <w:pStyle w:val="Heading1"/>
      </w:pPr>
      <w:r>
        <w:t>SOP 1: Contract intake</w:t>
      </w:r>
    </w:p>
    <w:p>
      <w:r>
        <w:rPr>
          <w:b/>
        </w:rPr>
        <w:t>Run:</w:t>
      </w:r>
      <w:r>
        <w:t xml:space="preserve"> on every inbound document.</w:t>
      </w:r>
    </w:p>
    <w:p>
      <w:pPr>
        <w:pStyle w:val="ListNumber"/>
      </w:pPr>
      <w:r>
        <w:t>The agent extracts obligations, dates, caps, termination, renewal and governing law.</w:t>
      </w:r>
    </w:p>
    <w:p>
      <w:pPr>
        <w:pStyle w:val="ListNumber"/>
      </w:pPr>
      <w:r>
        <w:t xml:space="preserve">It reports </w:t>
      </w:r>
      <w:r>
        <w:rPr>
          <w:b/>
        </w:rPr>
        <w:t>what is absent</w:t>
      </w:r>
      <w:r>
        <w:t xml:space="preserve"> as prominently as what is present.</w:t>
      </w:r>
    </w:p>
    <w:p>
      <w:pPr>
        <w:pStyle w:val="ListNumber"/>
      </w:pPr>
      <w:r>
        <w:t>It compares against our standard and ranks the deltas by consequence.</w:t>
      </w:r>
    </w:p>
    <w:p>
      <w:pPr>
        <w:pStyle w:val="ListNumber"/>
      </w:pPr>
      <w:r>
        <w:t>A qualified person reads the deltas and decides. The extraction is never the decision.</w:t>
      </w:r>
    </w:p>
    <w:p>
      <w:r>
        <w:t xml:space="preserve">Three working days. </w:t>
      </w:r>
      <w:r>
        <w:rPr>
          <w:b/>
        </w:rPr>
        <w:t>Slower than that and people route around the process</w:t>
      </w:r>
      <w:r>
        <w:t>, which is a worse outcome than a rushed review because it is invisible.</w:t>
      </w:r>
    </w:p>
    <w:p>
      <w:pPr>
        <w:pStyle w:val="Heading1"/>
      </w:pPr>
      <w:r>
        <w:t>SOP 2: The delta review</w:t>
      </w:r>
    </w:p>
    <w:p>
      <w:r>
        <w:rPr>
          <w:b/>
        </w:rPr>
        <w:t>Run:</w:t>
      </w:r>
      <w:r>
        <w:t xml:space="preserve"> per contract, by a person. Read the deltas, not the document. The deltas are the negotiation.</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Delta type</w:t>
            </w:r>
          </w:p>
        </w:tc>
        <w:tc>
          <w:tcPr>
            <w:tcW w:type="dxa" w:w="4706"/>
            <w:shd w:val="clear" w:color="auto" w:fill="F1EAFE"/>
          </w:tcPr>
          <w:p>
            <w:pPr>
              <w:spacing w:after="40"/>
            </w:pPr>
            <w:r>
              <w:rPr>
                <w:b/>
                <w:sz w:val="18"/>
              </w:rPr>
            </w:r>
            <w:r>
              <w:rPr>
                <w:b/>
                <w:sz w:val="18"/>
              </w:rPr>
              <w:t>Handling</w:t>
            </w:r>
          </w:p>
        </w:tc>
      </w:tr>
      <w:tr>
        <w:tc>
          <w:tcPr>
            <w:tcW w:type="dxa" w:w="4706"/>
          </w:tcPr>
          <w:p>
            <w:pPr>
              <w:spacing w:after="40"/>
            </w:pPr>
            <w:r>
              <w:rPr>
                <w:sz w:val="18"/>
              </w:rPr>
            </w:r>
            <w:r>
              <w:rPr>
                <w:sz w:val="18"/>
              </w:rPr>
              <w:t>Liability cap missing or uncapped</w:t>
            </w:r>
          </w:p>
        </w:tc>
        <w:tc>
          <w:tcPr>
            <w:tcW w:type="dxa" w:w="4706"/>
          </w:tcPr>
          <w:p>
            <w:pPr>
              <w:spacing w:after="40"/>
            </w:pPr>
            <w:r>
              <w:rPr>
                <w:sz w:val="18"/>
              </w:rPr>
            </w:r>
            <w:r>
              <w:rPr>
                <w:sz w:val="18"/>
              </w:rPr>
              <w:t>Never accepted silently. A named person accepts, or it is negotiated</w:t>
            </w:r>
          </w:p>
        </w:tc>
      </w:tr>
      <w:tr>
        <w:tc>
          <w:tcPr>
            <w:tcW w:type="dxa" w:w="4706"/>
          </w:tcPr>
          <w:p>
            <w:pPr>
              <w:spacing w:after="40"/>
            </w:pPr>
            <w:r>
              <w:rPr>
                <w:sz w:val="18"/>
              </w:rPr>
            </w:r>
            <w:r>
              <w:rPr>
                <w:sz w:val="18"/>
              </w:rPr>
              <w:t>Indemnity broader than standard</w:t>
            </w:r>
          </w:p>
        </w:tc>
        <w:tc>
          <w:tcPr>
            <w:tcW w:type="dxa" w:w="4706"/>
          </w:tcPr>
          <w:p>
            <w:pPr>
              <w:spacing w:after="40"/>
            </w:pPr>
            <w:r>
              <w:rPr>
                <w:sz w:val="18"/>
              </w:rPr>
            </w:r>
            <w:r>
              <w:rPr>
                <w:sz w:val="18"/>
              </w:rPr>
              <w:t>Costed before it is accepted</w:t>
            </w:r>
          </w:p>
        </w:tc>
      </w:tr>
      <w:tr>
        <w:tc>
          <w:tcPr>
            <w:tcW w:type="dxa" w:w="4706"/>
          </w:tcPr>
          <w:p>
            <w:pPr>
              <w:spacing w:after="40"/>
            </w:pPr>
            <w:r>
              <w:rPr>
                <w:sz w:val="18"/>
              </w:rPr>
            </w:r>
            <w:r>
              <w:rPr>
                <w:sz w:val="18"/>
              </w:rPr>
              <w:t>Data processing absent</w:t>
            </w:r>
          </w:p>
        </w:tc>
        <w:tc>
          <w:tcPr>
            <w:tcW w:type="dxa" w:w="4706"/>
          </w:tcPr>
          <w:p>
            <w:pPr>
              <w:spacing w:after="40"/>
            </w:pPr>
            <w:r>
              <w:rPr>
                <w:sz w:val="18"/>
              </w:rPr>
            </w:r>
            <w:r>
              <w:rPr>
                <w:sz w:val="18"/>
              </w:rPr>
              <w:t>Blocking, if any personal data is involved</w:t>
            </w:r>
          </w:p>
        </w:tc>
      </w:tr>
      <w:tr>
        <w:tc>
          <w:tcPr>
            <w:tcW w:type="dxa" w:w="4706"/>
          </w:tcPr>
          <w:p>
            <w:pPr>
              <w:spacing w:after="40"/>
            </w:pPr>
            <w:r>
              <w:rPr>
                <w:sz w:val="18"/>
              </w:rPr>
            </w:r>
            <w:r>
              <w:rPr>
                <w:sz w:val="18"/>
              </w:rPr>
              <w:t>Auto-renewal</w:t>
            </w:r>
          </w:p>
        </w:tc>
        <w:tc>
          <w:tcPr>
            <w:tcW w:type="dxa" w:w="4706"/>
          </w:tcPr>
          <w:p>
            <w:pPr>
              <w:spacing w:after="40"/>
            </w:pPr>
            <w:r>
              <w:rPr>
                <w:sz w:val="18"/>
              </w:rPr>
            </w:r>
            <w:r>
              <w:rPr>
                <w:sz w:val="18"/>
              </w:rPr>
              <w:t>Diarised at signature, 90 days ahead</w:t>
            </w:r>
          </w:p>
        </w:tc>
      </w:tr>
      <w:tr>
        <w:tc>
          <w:tcPr>
            <w:tcW w:type="dxa" w:w="4706"/>
          </w:tcPr>
          <w:p>
            <w:pPr>
              <w:spacing w:after="40"/>
            </w:pPr>
            <w:r>
              <w:rPr>
                <w:sz w:val="18"/>
              </w:rPr>
            </w:r>
            <w:r>
              <w:rPr>
                <w:sz w:val="18"/>
              </w:rPr>
              <w:t>Governing law elsewhere</w:t>
            </w:r>
          </w:p>
        </w:tc>
        <w:tc>
          <w:tcPr>
            <w:tcW w:type="dxa" w:w="4706"/>
          </w:tcPr>
          <w:p>
            <w:pPr>
              <w:spacing w:after="40"/>
            </w:pPr>
            <w:r>
              <w:rPr>
                <w:sz w:val="18"/>
              </w:rPr>
            </w:r>
            <w:r>
              <w:rPr>
                <w:sz w:val="18"/>
              </w:rPr>
              <w:t>Understand the enforcement reality, not only the clause</w:t>
            </w:r>
          </w:p>
        </w:tc>
      </w:tr>
    </w:tbl>
    <w:p>
      <w:pPr>
        <w:spacing w:after="40"/>
      </w:pPr>
    </w:p>
    <w:p>
      <w:pPr>
        <w:pStyle w:val="Heading1"/>
      </w:pPr>
      <w:r>
        <w:t>SOP 3: Obligation handover</w:t>
      </w:r>
    </w:p>
    <w:p>
      <w:r>
        <w:rPr>
          <w:b/>
        </w:rPr>
        <w:t>Run:</w:t>
      </w:r>
      <w:r>
        <w:t xml:space="preserve"> at signature. The step most often skipped.</w:t>
      </w:r>
    </w:p>
    <w:p>
      <w:r>
        <w:t>A signed contract is a list of things we now have to do. Every one gets an owner and a date, in the same session as the signature.</w:t>
      </w:r>
    </w:p>
    <w:p>
      <w:r>
        <w:rPr>
          <w:b/>
        </w:rPr>
        <w:t>Most contractual failures are not disputes about interpretation.</w:t>
      </w:r>
      <w:r>
        <w:t xml:space="preserve"> They are obligations nobody was assigned, discovered when the other side asks why a report they were promised monthly has never arrived.</w:t>
      </w:r>
    </w:p>
    <w:p>
      <w:pPr>
        <w:pStyle w:val="Heading1"/>
      </w:pPr>
      <w:r>
        <w:t>SOP 4: Renewal and expiry calendar</w:t>
      </w:r>
    </w:p>
    <w:p>
      <w:r>
        <w:rPr>
          <w:b/>
        </w:rPr>
        <w:t>Run:</w:t>
      </w:r>
      <w:r>
        <w:t xml:space="preserve"> monthly, 90 days ahead.</w:t>
      </w:r>
    </w:p>
    <w:p>
      <w:r>
        <w:t>Auto-renewals, expiries, notice periods and price-review dates, each with an owner.</w:t>
      </w:r>
    </w:p>
    <w:p>
      <w:r>
        <w:t>A 90-day warning makes a renewal a decision. Finding out afterwards makes it another year at a price nobody negotiated.</w:t>
      </w:r>
    </w:p>
    <w:p>
      <w:pPr>
        <w:pStyle w:val="Heading1"/>
      </w:pPr>
      <w:r>
        <w:t>SOP 5: Regulatory change</w:t>
      </w:r>
    </w:p>
    <w:p>
      <w:r>
        <w:rPr>
          <w:b/>
        </w:rPr>
        <w:t>Run:</w:t>
      </w:r>
      <w:r>
        <w:t xml:space="preserve"> monthly.</w:t>
      </w:r>
    </w:p>
    <w:p>
      <w:pPr>
        <w:pStyle w:val="ListNumber"/>
      </w:pPr>
      <w:r>
        <w:t>What changed in our jurisdictions.</w:t>
      </w:r>
    </w:p>
    <w:p>
      <w:pPr>
        <w:pStyle w:val="ListNumber"/>
      </w:pPr>
      <w:r>
        <w:t xml:space="preserve">Does it apply to us? </w:t>
      </w:r>
      <w:r>
        <w:rPr>
          <w:b/>
        </w:rPr>
        <w:t>A person decides, from the primary source rather than the summary.</w:t>
      </w:r>
    </w:p>
    <w:p>
      <w:pPr>
        <w:pStyle w:val="ListNumber"/>
      </w:pPr>
      <w:r>
        <w:t>If yes: what must change, who owns it, by when.</w:t>
      </w:r>
    </w:p>
    <w:p>
      <w:pPr>
        <w:pStyle w:val="ListNumber"/>
      </w:pPr>
      <w:r>
        <w:t>If no: record why. The reasoning is what stops the question being reopened every quarter.</w:t>
      </w:r>
    </w:p>
    <w:p>
      <w:pPr>
        <w:pStyle w:val="Heading1"/>
      </w:pPr>
      <w:r>
        <w:t>Escalation</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Situation</w:t>
            </w:r>
          </w:p>
        </w:tc>
        <w:tc>
          <w:tcPr>
            <w:tcW w:type="dxa" w:w="4706"/>
            <w:shd w:val="clear" w:color="auto" w:fill="F1EAFE"/>
          </w:tcPr>
          <w:p>
            <w:pPr>
              <w:spacing w:after="40"/>
            </w:pPr>
            <w:r>
              <w:rPr>
                <w:b/>
                <w:sz w:val="18"/>
              </w:rPr>
            </w:r>
            <w:r>
              <w:rPr>
                <w:b/>
                <w:sz w:val="18"/>
              </w:rPr>
              <w:t>Goes to</w:t>
            </w:r>
          </w:p>
        </w:tc>
      </w:tr>
      <w:tr>
        <w:tc>
          <w:tcPr>
            <w:tcW w:type="dxa" w:w="4706"/>
          </w:tcPr>
          <w:p>
            <w:pPr>
              <w:spacing w:after="40"/>
            </w:pPr>
            <w:r>
              <w:rPr>
                <w:sz w:val="18"/>
              </w:rPr>
            </w:r>
            <w:r>
              <w:rPr>
                <w:sz w:val="18"/>
              </w:rPr>
              <w:t>Uncapped liability proposed</w:t>
            </w:r>
          </w:p>
        </w:tc>
        <w:tc>
          <w:tcPr>
            <w:tcW w:type="dxa" w:w="4706"/>
          </w:tcPr>
          <w:p>
            <w:pPr>
              <w:spacing w:after="40"/>
            </w:pPr>
            <w:r>
              <w:rPr>
                <w:sz w:val="18"/>
              </w:rPr>
            </w:r>
            <w:r>
              <w:rPr>
                <w:sz w:val="18"/>
              </w:rPr>
              <w:t>CFO and CEO before signature</w:t>
            </w:r>
          </w:p>
        </w:tc>
      </w:tr>
      <w:tr>
        <w:tc>
          <w:tcPr>
            <w:tcW w:type="dxa" w:w="4706"/>
          </w:tcPr>
          <w:p>
            <w:pPr>
              <w:spacing w:after="40"/>
            </w:pPr>
            <w:r>
              <w:rPr>
                <w:sz w:val="18"/>
              </w:rPr>
            </w:r>
            <w:r>
              <w:rPr>
                <w:sz w:val="18"/>
              </w:rPr>
              <w:t>Personal data with no processing terms</w:t>
            </w:r>
          </w:p>
        </w:tc>
        <w:tc>
          <w:tcPr>
            <w:tcW w:type="dxa" w:w="4706"/>
          </w:tcPr>
          <w:p>
            <w:pPr>
              <w:spacing w:after="40"/>
            </w:pPr>
            <w:r>
              <w:rPr>
                <w:sz w:val="18"/>
              </w:rPr>
            </w:r>
            <w:r>
              <w:rPr>
                <w:sz w:val="18"/>
              </w:rPr>
              <w:t>Blocking. Nothing signs</w:t>
            </w:r>
          </w:p>
        </w:tc>
      </w:tr>
      <w:tr>
        <w:tc>
          <w:tcPr>
            <w:tcW w:type="dxa" w:w="4706"/>
          </w:tcPr>
          <w:p>
            <w:pPr>
              <w:spacing w:after="40"/>
            </w:pPr>
            <w:r>
              <w:rPr>
                <w:sz w:val="18"/>
              </w:rPr>
            </w:r>
            <w:r>
              <w:rPr>
                <w:sz w:val="18"/>
              </w:rPr>
              <w:t>A regulator makes contact</w:t>
            </w:r>
          </w:p>
        </w:tc>
        <w:tc>
          <w:tcPr>
            <w:tcW w:type="dxa" w:w="4706"/>
          </w:tcPr>
          <w:p>
            <w:pPr>
              <w:spacing w:after="40"/>
            </w:pPr>
            <w:r>
              <w:rPr>
                <w:sz w:val="18"/>
              </w:rPr>
            </w:r>
            <w:r>
              <w:rPr>
                <w:sz w:val="18"/>
              </w:rPr>
              <w:t>CEO immediately, and nobody else responds</w:t>
            </w:r>
          </w:p>
        </w:tc>
      </w:tr>
      <w:tr>
        <w:tc>
          <w:tcPr>
            <w:tcW w:type="dxa" w:w="4706"/>
          </w:tcPr>
          <w:p>
            <w:pPr>
              <w:spacing w:after="40"/>
            </w:pPr>
            <w:r>
              <w:rPr>
                <w:sz w:val="18"/>
              </w:rPr>
            </w:r>
            <w:r>
              <w:rPr>
                <w:sz w:val="18"/>
              </w:rPr>
              <w:t>A contract signed without review</w:t>
            </w:r>
          </w:p>
        </w:tc>
        <w:tc>
          <w:tcPr>
            <w:tcW w:type="dxa" w:w="4706"/>
          </w:tcPr>
          <w:p>
            <w:pPr>
              <w:spacing w:after="40"/>
            </w:pPr>
            <w:r>
              <w:rPr>
                <w:sz w:val="18"/>
              </w:rPr>
            </w:r>
            <w:r>
              <w:rPr>
                <w:sz w:val="18"/>
              </w:rPr>
              <w:t>A process investigation, not a reprimand. It happened because the process was too slow</w:t>
            </w:r>
          </w:p>
        </w:tc>
      </w:tr>
      <w:tr>
        <w:tc>
          <w:tcPr>
            <w:tcW w:type="dxa" w:w="4706"/>
          </w:tcPr>
          <w:p>
            <w:pPr>
              <w:spacing w:after="40"/>
            </w:pPr>
            <w:r>
              <w:rPr>
                <w:sz w:val="18"/>
              </w:rPr>
            </w:r>
            <w:r>
              <w:rPr>
                <w:sz w:val="18"/>
              </w:rPr>
              <w:t>Possible customer-data breach</w:t>
            </w:r>
          </w:p>
        </w:tc>
        <w:tc>
          <w:tcPr>
            <w:tcW w:type="dxa" w:w="4706"/>
          </w:tcPr>
          <w:p>
            <w:pPr>
              <w:spacing w:after="40"/>
            </w:pPr>
            <w:r>
              <w:rPr>
                <w:sz w:val="18"/>
              </w:rPr>
            </w:r>
            <w:r>
              <w:rPr>
                <w:sz w:val="18"/>
              </w:rPr>
              <w:t>Immediately, alongside Security. Notification clocks start at awareness, not at certainty</w:t>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Legal: standard operating procedures</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Legal: standard operating procedures</dc:title>
  <dc:subject/>
  <dc:creator>BvLogic</dc:creator>
  <cp:keywords>BvLogic, Sop, enterprise AI, Legal: standard operating procedures</cp:keywords>
  <dc:description/>
  <cp:lastModifiedBy/>
  <cp:revision>1</cp:revision>
  <dcterms:created xsi:type="dcterms:W3CDTF">2013-12-23T23:15:00Z</dcterms:created>
  <dcterms:modified xsi:type="dcterms:W3CDTF">2013-12-23T23:15:00Z</dcterms:modified>
  <cp:category>Sop</cp:category>
  <dc:language>en-GB</dc:language>
</cp:coreProperties>
</file>