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Legal: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BVL-340F68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Legal is a function whose good outcome is an absence: the dispute that did not happen, the obligation that was not missed, the clause that was caught. Absences are hard to count, so these measure speed, coverage and known exposure instead.</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Contract turnaround</w:t>
            </w:r>
          </w:p>
        </w:tc>
        <w:tc>
          <w:tcPr>
            <w:tcW w:type="dxa" w:w="2353"/>
          </w:tcPr>
          <w:p>
            <w:pPr>
              <w:spacing w:after="40"/>
            </w:pPr>
            <w:r>
              <w:rPr>
                <w:sz w:val="18"/>
              </w:rPr>
            </w:r>
            <w:r>
              <w:rPr>
                <w:sz w:val="18"/>
              </w:rPr>
              <w:t>Received to returned</w:t>
            </w:r>
          </w:p>
        </w:tc>
        <w:tc>
          <w:tcPr>
            <w:tcW w:type="dxa" w:w="2353"/>
          </w:tcPr>
          <w:p>
            <w:pPr>
              <w:spacing w:after="40"/>
            </w:pPr>
            <w:r>
              <w:rPr>
                <w:sz w:val="18"/>
              </w:rPr>
            </w:r>
            <w:r>
              <w:rPr>
                <w:sz w:val="18"/>
              </w:rPr>
              <w:t>Under 3 working days</w:t>
            </w:r>
          </w:p>
        </w:tc>
        <w:tc>
          <w:tcPr>
            <w:tcW w:type="dxa" w:w="2353"/>
          </w:tcPr>
          <w:p>
            <w:pPr>
              <w:spacing w:after="40"/>
            </w:pPr>
            <w:r>
              <w:rPr>
                <w:sz w:val="18"/>
              </w:rPr>
            </w:r>
            <w:r>
              <w:rPr>
                <w:sz w:val="18"/>
              </w:rPr>
              <w:t>Returning it with questions to stop the clock</w:t>
            </w:r>
          </w:p>
        </w:tc>
      </w:tr>
      <w:tr>
        <w:tc>
          <w:tcPr>
            <w:tcW w:type="dxa" w:w="2353"/>
          </w:tcPr>
          <w:p>
            <w:pPr>
              <w:spacing w:after="40"/>
            </w:pPr>
            <w:r>
              <w:rPr>
                <w:sz w:val="18"/>
              </w:rPr>
            </w:r>
            <w:r>
              <w:rPr>
                <w:sz w:val="18"/>
              </w:rPr>
              <w:t>Standard-terms rate</w:t>
            </w:r>
          </w:p>
        </w:tc>
        <w:tc>
          <w:tcPr>
            <w:tcW w:type="dxa" w:w="2353"/>
          </w:tcPr>
          <w:p>
            <w:pPr>
              <w:spacing w:after="40"/>
            </w:pPr>
            <w:r>
              <w:rPr>
                <w:sz w:val="18"/>
              </w:rPr>
            </w:r>
            <w:r>
              <w:rPr>
                <w:sz w:val="18"/>
              </w:rPr>
              <w:t>Deals closed on our paper</w:t>
            </w:r>
          </w:p>
        </w:tc>
        <w:tc>
          <w:tcPr>
            <w:tcW w:type="dxa" w:w="2353"/>
          </w:tcPr>
          <w:p>
            <w:pPr>
              <w:spacing w:after="40"/>
            </w:pPr>
            <w:r>
              <w:rPr>
                <w:sz w:val="18"/>
              </w:rPr>
            </w:r>
            <w:r>
              <w:rPr>
                <w:sz w:val="18"/>
              </w:rPr>
              <w:t>Above 60%</w:t>
            </w:r>
          </w:p>
        </w:tc>
        <w:tc>
          <w:tcPr>
            <w:tcW w:type="dxa" w:w="2353"/>
          </w:tcPr>
          <w:p>
            <w:pPr>
              <w:spacing w:after="40"/>
            </w:pPr>
            <w:r>
              <w:rPr>
                <w:sz w:val="18"/>
              </w:rPr>
            </w:r>
            <w:r>
              <w:rPr>
                <w:sz w:val="18"/>
              </w:rPr>
              <w:t>Weakening our standard until everyone accepts it</w:t>
            </w:r>
          </w:p>
        </w:tc>
      </w:tr>
      <w:tr>
        <w:tc>
          <w:tcPr>
            <w:tcW w:type="dxa" w:w="2353"/>
          </w:tcPr>
          <w:p>
            <w:pPr>
              <w:spacing w:after="40"/>
            </w:pPr>
            <w:r>
              <w:rPr>
                <w:sz w:val="18"/>
              </w:rPr>
            </w:r>
            <w:r>
              <w:rPr>
                <w:sz w:val="18"/>
              </w:rPr>
              <w:t>Obligation tracking</w:t>
            </w:r>
          </w:p>
        </w:tc>
        <w:tc>
          <w:tcPr>
            <w:tcW w:type="dxa" w:w="2353"/>
          </w:tcPr>
          <w:p>
            <w:pPr>
              <w:spacing w:after="40"/>
            </w:pPr>
            <w:r>
              <w:rPr>
                <w:sz w:val="18"/>
              </w:rPr>
            </w:r>
            <w:r>
              <w:rPr>
                <w:sz w:val="18"/>
              </w:rPr>
              <w:t>Contractual commitments with an owner and a date</w:t>
            </w:r>
          </w:p>
        </w:tc>
        <w:tc>
          <w:tcPr>
            <w:tcW w:type="dxa" w:w="2353"/>
          </w:tcPr>
          <w:p>
            <w:pPr>
              <w:spacing w:after="40"/>
            </w:pPr>
            <w:r>
              <w:rPr>
                <w:sz w:val="18"/>
              </w:rPr>
            </w:r>
            <w:r>
              <w:rPr>
                <w:sz w:val="18"/>
              </w:rPr>
              <w:t>100%</w:t>
            </w:r>
          </w:p>
        </w:tc>
        <w:tc>
          <w:tcPr>
            <w:tcW w:type="dxa" w:w="2353"/>
          </w:tcPr>
          <w:p>
            <w:pPr>
              <w:spacing w:after="40"/>
            </w:pPr>
            <w:r>
              <w:rPr>
                <w:sz w:val="18"/>
              </w:rPr>
            </w:r>
            <w:r>
              <w:rPr>
                <w:sz w:val="18"/>
              </w:rPr>
              <w:t>Tracking the contract but not what it obliges us to do</w:t>
            </w:r>
          </w:p>
        </w:tc>
      </w:tr>
      <w:tr>
        <w:tc>
          <w:tcPr>
            <w:tcW w:type="dxa" w:w="2353"/>
          </w:tcPr>
          <w:p>
            <w:pPr>
              <w:spacing w:after="40"/>
            </w:pPr>
            <w:r>
              <w:rPr>
                <w:sz w:val="18"/>
              </w:rPr>
            </w:r>
            <w:r>
              <w:rPr>
                <w:sz w:val="18"/>
              </w:rPr>
              <w:t>Renewal warning</w:t>
            </w:r>
          </w:p>
        </w:tc>
        <w:tc>
          <w:tcPr>
            <w:tcW w:type="dxa" w:w="2353"/>
          </w:tcPr>
          <w:p>
            <w:pPr>
              <w:spacing w:after="40"/>
            </w:pPr>
            <w:r>
              <w:rPr>
                <w:sz w:val="18"/>
              </w:rPr>
            </w:r>
            <w:r>
              <w:rPr>
                <w:sz w:val="18"/>
              </w:rPr>
              <w:t>Notice before an auto-renewal or expiry</w:t>
            </w:r>
          </w:p>
        </w:tc>
        <w:tc>
          <w:tcPr>
            <w:tcW w:type="dxa" w:w="2353"/>
          </w:tcPr>
          <w:p>
            <w:pPr>
              <w:spacing w:after="40"/>
            </w:pPr>
            <w:r>
              <w:rPr>
                <w:sz w:val="18"/>
              </w:rPr>
            </w:r>
            <w:r>
              <w:rPr>
                <w:sz w:val="18"/>
              </w:rPr>
              <w:t>90 days</w:t>
            </w:r>
          </w:p>
        </w:tc>
        <w:tc>
          <w:tcPr>
            <w:tcW w:type="dxa" w:w="2353"/>
          </w:tcPr>
          <w:p>
            <w:pPr>
              <w:spacing w:after="40"/>
            </w:pPr>
            <w:r>
              <w:rPr>
                <w:sz w:val="18"/>
              </w:rPr>
            </w:r>
            <w:r>
              <w:rPr>
                <w:sz w:val="18"/>
              </w:rPr>
              <w:t>Discovering the renewal after it renews</w:t>
            </w:r>
          </w:p>
        </w:tc>
      </w:tr>
      <w:tr>
        <w:tc>
          <w:tcPr>
            <w:tcW w:type="dxa" w:w="2353"/>
          </w:tcPr>
          <w:p>
            <w:pPr>
              <w:spacing w:after="40"/>
            </w:pPr>
            <w:r>
              <w:rPr>
                <w:sz w:val="18"/>
              </w:rPr>
            </w:r>
            <w:r>
              <w:rPr>
                <w:sz w:val="18"/>
              </w:rPr>
              <w:t>Open exceptions</w:t>
            </w:r>
          </w:p>
        </w:tc>
        <w:tc>
          <w:tcPr>
            <w:tcW w:type="dxa" w:w="2353"/>
          </w:tcPr>
          <w:p>
            <w:pPr>
              <w:spacing w:after="40"/>
            </w:pPr>
            <w:r>
              <w:rPr>
                <w:sz w:val="18"/>
              </w:rPr>
            </w:r>
            <w:r>
              <w:rPr>
                <w:sz w:val="18"/>
              </w:rPr>
              <w:t>Accepted legal risks past their review date</w:t>
            </w:r>
          </w:p>
        </w:tc>
        <w:tc>
          <w:tcPr>
            <w:tcW w:type="dxa" w:w="2353"/>
          </w:tcPr>
          <w:p>
            <w:pPr>
              <w:spacing w:after="40"/>
            </w:pPr>
            <w:r>
              <w:rPr>
                <w:sz w:val="18"/>
              </w:rPr>
            </w:r>
            <w:r>
              <w:rPr>
                <w:sz w:val="18"/>
              </w:rPr>
              <w:t>Zero</w:t>
            </w:r>
          </w:p>
        </w:tc>
        <w:tc>
          <w:tcPr>
            <w:tcW w:type="dxa" w:w="2353"/>
          </w:tcPr>
          <w:p>
            <w:pPr>
              <w:spacing w:after="40"/>
            </w:pPr>
            <w:r>
              <w:rPr>
                <w:sz w:val="18"/>
              </w:rPr>
            </w:r>
            <w:r>
              <w:rPr>
                <w:sz w:val="18"/>
              </w:rPr>
              <w:t>Not setting review dates</w:t>
            </w:r>
          </w:p>
        </w:tc>
      </w:tr>
      <w:tr>
        <w:tc>
          <w:tcPr>
            <w:tcW w:type="dxa" w:w="2353"/>
          </w:tcPr>
          <w:p>
            <w:pPr>
              <w:spacing w:after="40"/>
            </w:pPr>
            <w:r>
              <w:rPr>
                <w:sz w:val="18"/>
              </w:rPr>
            </w:r>
            <w:r>
              <w:rPr>
                <w:sz w:val="18"/>
              </w:rPr>
              <w:t>Policy currency</w:t>
            </w:r>
          </w:p>
        </w:tc>
        <w:tc>
          <w:tcPr>
            <w:tcW w:type="dxa" w:w="2353"/>
          </w:tcPr>
          <w:p>
            <w:pPr>
              <w:spacing w:after="40"/>
            </w:pPr>
            <w:r>
              <w:rPr>
                <w:sz w:val="18"/>
              </w:rPr>
            </w:r>
            <w:r>
              <w:rPr>
                <w:sz w:val="18"/>
              </w:rPr>
              <w:t>Policies reviewed within their cycle</w:t>
            </w:r>
          </w:p>
        </w:tc>
        <w:tc>
          <w:tcPr>
            <w:tcW w:type="dxa" w:w="2353"/>
          </w:tcPr>
          <w:p>
            <w:pPr>
              <w:spacing w:after="40"/>
            </w:pPr>
            <w:r>
              <w:rPr>
                <w:sz w:val="18"/>
              </w:rPr>
            </w:r>
            <w:r>
              <w:rPr>
                <w:sz w:val="18"/>
              </w:rPr>
              <w:t>100%</w:t>
            </w:r>
          </w:p>
        </w:tc>
        <w:tc>
          <w:tcPr>
            <w:tcW w:type="dxa" w:w="2353"/>
          </w:tcPr>
          <w:p>
            <w:pPr>
              <w:spacing w:after="40"/>
            </w:pPr>
            <w:r>
              <w:rPr>
                <w:sz w:val="18"/>
              </w:rPr>
            </w:r>
            <w:r>
              <w:rPr>
                <w:sz w:val="18"/>
              </w:rPr>
              <w:t>Reviewing by re-dating rather than re-reading</w:t>
            </w:r>
          </w:p>
        </w:tc>
      </w:tr>
    </w:tbl>
    <w:p>
      <w:pPr>
        <w:spacing w:after="40"/>
      </w:pPr>
    </w:p>
    <w:p>
      <w:r>
        <w:rPr>
          <w:b/>
        </w:rPr>
        <w:t>Obligation tracking is the one that surprises companies.</w:t>
      </w:r>
      <w:r>
        <w:t xml:space="preserve"> Signing is treated as the end of the process, but a contract is a list of things we now have to do, and most breaches are not disputes about interpretation. They are obligations nobody assigned to anybody.</w:t>
      </w:r>
    </w:p>
    <w:p>
      <w:r>
        <w:rPr>
          <w:b/>
        </w:rPr>
        <w:t>Auto-renewal is the most avoidable cost here.</w:t>
      </w:r>
      <w:r>
        <w:t xml:space="preserve"> A 90-day warning turns a renegotiation into a choice; finding out afterwards turns it into another year.</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Deals delayed by legal review</w:t>
            </w:r>
          </w:p>
        </w:tc>
        <w:tc>
          <w:tcPr>
            <w:tcW w:type="dxa" w:w="4706"/>
          </w:tcPr>
          <w:p>
            <w:pPr>
              <w:spacing w:after="40"/>
            </w:pPr>
            <w:r>
              <w:rPr>
                <w:sz w:val="18"/>
              </w:rPr>
            </w:r>
            <w:r>
              <w:rPr>
                <w:sz w:val="18"/>
              </w:rPr>
              <w:t>Thoroughness that has become an obstacle. Legal being the reason a deal slipped is sometimes correct and always worth knowing</w:t>
            </w:r>
          </w:p>
        </w:tc>
      </w:tr>
      <w:tr>
        <w:tc>
          <w:tcPr>
            <w:tcW w:type="dxa" w:w="4706"/>
          </w:tcPr>
          <w:p>
            <w:pPr>
              <w:spacing w:after="40"/>
            </w:pPr>
            <w:r>
              <w:rPr>
                <w:sz w:val="18"/>
              </w:rPr>
            </w:r>
            <w:r>
              <w:rPr>
                <w:b/>
                <w:sz w:val="18"/>
              </w:rPr>
              <w:t>Contracts signed without review</w:t>
            </w:r>
          </w:p>
        </w:tc>
        <w:tc>
          <w:tcPr>
            <w:tcW w:type="dxa" w:w="4706"/>
          </w:tcPr>
          <w:p>
            <w:pPr>
              <w:spacing w:after="40"/>
            </w:pPr>
            <w:r>
              <w:rPr>
                <w:sz w:val="18"/>
              </w:rPr>
            </w:r>
            <w:r>
              <w:rPr>
                <w:sz w:val="18"/>
              </w:rPr>
              <w:t>The real process, not the policy. Above zero means review is too slow and people are routing around it</w:t>
            </w:r>
          </w:p>
        </w:tc>
      </w:tr>
    </w:tbl>
    <w:p>
      <w:pPr>
        <w:spacing w:after="40"/>
      </w:pPr>
    </w:p>
    <w:p>
      <w:pPr>
        <w:pStyle w:val="Heading1"/>
      </w:pPr>
      <w:r>
        <w:t>Exposure register, monthly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Bad answer</w:t>
            </w:r>
          </w:p>
        </w:tc>
      </w:tr>
      <w:tr>
        <w:tc>
          <w:tcPr>
            <w:tcW w:type="dxa" w:w="4706"/>
          </w:tcPr>
          <w:p>
            <w:pPr>
              <w:spacing w:after="40"/>
            </w:pPr>
            <w:r>
              <w:rPr>
                <w:sz w:val="18"/>
              </w:rPr>
            </w:r>
            <w:r>
              <w:rPr>
                <w:sz w:val="18"/>
              </w:rPr>
              <w:t>What are our largest uncapped liabilities?</w:t>
            </w:r>
          </w:p>
        </w:tc>
        <w:tc>
          <w:tcPr>
            <w:tcW w:type="dxa" w:w="4706"/>
          </w:tcPr>
          <w:p>
            <w:pPr>
              <w:spacing w:after="40"/>
            </w:pPr>
            <w:r>
              <w:rPr>
                <w:sz w:val="18"/>
              </w:rPr>
            </w:r>
            <w:r>
              <w:rPr>
                <w:sz w:val="18"/>
              </w:rPr>
              <w:t>"We would have to check"</w:t>
            </w:r>
          </w:p>
        </w:tc>
      </w:tr>
      <w:tr>
        <w:tc>
          <w:tcPr>
            <w:tcW w:type="dxa" w:w="4706"/>
          </w:tcPr>
          <w:p>
            <w:pPr>
              <w:spacing w:after="40"/>
            </w:pPr>
            <w:r>
              <w:rPr>
                <w:sz w:val="18"/>
              </w:rPr>
            </w:r>
            <w:r>
              <w:rPr>
                <w:sz w:val="18"/>
              </w:rPr>
              <w:t>Which contracts auto-renew within 90 days?</w:t>
            </w:r>
          </w:p>
        </w:tc>
        <w:tc>
          <w:tcPr>
            <w:tcW w:type="dxa" w:w="4706"/>
          </w:tcPr>
          <w:p>
            <w:pPr>
              <w:spacing w:after="40"/>
            </w:pPr>
            <w:r>
              <w:rPr>
                <w:sz w:val="18"/>
              </w:rPr>
            </w:r>
            <w:r>
              <w:rPr>
                <w:sz w:val="18"/>
              </w:rPr>
              <w:t>Any not already flagged</w:t>
            </w:r>
          </w:p>
        </w:tc>
      </w:tr>
      <w:tr>
        <w:tc>
          <w:tcPr>
            <w:tcW w:type="dxa" w:w="4706"/>
          </w:tcPr>
          <w:p>
            <w:pPr>
              <w:spacing w:after="40"/>
            </w:pPr>
            <w:r>
              <w:rPr>
                <w:sz w:val="18"/>
              </w:rPr>
            </w:r>
            <w:r>
              <w:rPr>
                <w:sz w:val="18"/>
              </w:rPr>
              <w:t>Which obligations have no owner?</w:t>
            </w:r>
          </w:p>
        </w:tc>
        <w:tc>
          <w:tcPr>
            <w:tcW w:type="dxa" w:w="4706"/>
          </w:tcPr>
          <w:p>
            <w:pPr>
              <w:spacing w:after="40"/>
            </w:pPr>
            <w:r>
              <w:rPr>
                <w:sz w:val="18"/>
              </w:rPr>
            </w:r>
            <w:r>
              <w:rPr>
                <w:sz w:val="18"/>
              </w:rPr>
              <w:t>Any</w:t>
            </w:r>
          </w:p>
        </w:tc>
      </w:tr>
      <w:tr>
        <w:tc>
          <w:tcPr>
            <w:tcW w:type="dxa" w:w="4706"/>
          </w:tcPr>
          <w:p>
            <w:pPr>
              <w:spacing w:after="40"/>
            </w:pPr>
            <w:r>
              <w:rPr>
                <w:sz w:val="18"/>
              </w:rPr>
            </w:r>
            <w:r>
              <w:rPr>
                <w:sz w:val="18"/>
              </w:rPr>
              <w:t>Which regulations changed that affect us?</w:t>
            </w:r>
          </w:p>
        </w:tc>
        <w:tc>
          <w:tcPr>
            <w:tcW w:type="dxa" w:w="4706"/>
          </w:tcPr>
          <w:p>
            <w:pPr>
              <w:spacing w:after="40"/>
            </w:pPr>
            <w:r>
              <w:rPr>
                <w:sz w:val="18"/>
              </w:rPr>
            </w:r>
            <w:r>
              <w:rPr>
                <w:sz w:val="18"/>
              </w:rPr>
              <w:t>Unknown</w:t>
            </w:r>
          </w:p>
        </w:tc>
      </w:tr>
    </w:tbl>
    <w:p>
      <w:pPr>
        <w:spacing w:after="40"/>
      </w:pPr>
    </w:p>
    <w:p>
      <w:pPr>
        <w:pStyle w:val="Heading1"/>
      </w:pPr>
      <w:r>
        <w:t>What is deliberately not measured</w:t>
      </w:r>
    </w:p>
    <w:p>
      <w:pPr>
        <w:pStyle w:val="ListBullet"/>
      </w:pPr>
      <w:r>
        <w:rPr>
          <w:b/>
        </w:rPr>
        <w:t>Contracts reviewed.</w:t>
      </w:r>
      <w:r>
        <w:t xml:space="preserve"> Volume, and largely automated now.</w:t>
      </w:r>
    </w:p>
    <w:p>
      <w:pPr>
        <w:pStyle w:val="ListBullet"/>
      </w:pPr>
      <w:r>
        <w:rPr>
          <w:b/>
        </w:rPr>
        <w:t>Clauses negotiated.</w:t>
      </w:r>
      <w:r>
        <w:t xml:space="preserve"> Rewards friction over outcome.</w:t>
      </w:r>
    </w:p>
    <w:p>
      <w:pPr>
        <w:pStyle w:val="ListBullet"/>
      </w:pPr>
      <w:r>
        <w:rPr>
          <w:b/>
        </w:rPr>
        <w:t>Legal spend alone.</w:t>
      </w:r>
      <w:r>
        <w:t xml:space="preserve"> Meaningful only against risk carried. Low spend with high exposure is not</w:t>
      </w:r>
    </w:p>
    <w:p>
      <w:r>
        <w:t>a saving, it is a deferred cost.</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Contracts in flight, anything blocking a deal</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Exposure register, unowned obligations, 90-day renewals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Policy currency, open exceptions, regulatory change review</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Legal: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the KPI set</dc:title>
  <dc:subject/>
  <dc:creator>BvLogic</dc:creator>
  <cp:keywords>BvLogic, Kpi, enterprise AI, Legal: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