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AGENTS</w:t>
      </w:r>
    </w:p>
    <w:p>
      <w:pPr>
        <w:spacing w:after="160"/>
      </w:pPr>
      <w:r>
        <w:rPr>
          <w:rFonts w:ascii="Georgia" w:hAnsi="Georgia"/>
          <w:b/>
          <w:color w:val="0F141A"/>
          <w:sz w:val="56"/>
        </w:rPr>
        <w:t>Legal: what is automated, and what is not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BVL-E03682</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Agents</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Legal work splits into reading and deciding. Reading is volume work that machines do well and tirelessly. Deciding carries liability, and liability cannot be delegated to something that cannot hold it.</w:t>
      </w:r>
    </w:p>
    <w:p>
      <w:r>
        <w:t>The line here is absolute, and it is not a maturity stage to be outgrown.</w:t>
      </w:r>
    </w:p>
    <w:p>
      <w:pPr>
        <w:pStyle w:val="Heading1"/>
      </w:pPr>
      <w:r>
        <w:t>Contract and document analysis</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Document</w:t>
            </w:r>
          </w:p>
        </w:tc>
        <w:tc>
          <w:tcPr>
            <w:tcW w:type="dxa" w:w="3137"/>
            <w:shd w:val="clear" w:color="auto" w:fill="F1EAFE"/>
          </w:tcPr>
          <w:p>
            <w:pPr>
              <w:spacing w:after="40"/>
            </w:pPr>
            <w:r>
              <w:rPr>
                <w:b/>
                <w:sz w:val="18"/>
              </w:rPr>
            </w:r>
            <w:r>
              <w:rPr>
                <w:b/>
                <w:sz w:val="18"/>
              </w:rPr>
              <w:t>What the agent extracts</w:t>
            </w:r>
          </w:p>
        </w:tc>
        <w:tc>
          <w:tcPr>
            <w:tcW w:type="dxa" w:w="3137"/>
            <w:shd w:val="clear" w:color="auto" w:fill="F1EAFE"/>
          </w:tcPr>
          <w:p>
            <w:pPr>
              <w:spacing w:after="40"/>
            </w:pPr>
            <w:r>
              <w:rPr>
                <w:b/>
                <w:sz w:val="18"/>
              </w:rPr>
            </w:r>
            <w:r>
              <w:rPr>
                <w:b/>
                <w:sz w:val="18"/>
              </w:rPr>
              <w:t>What it never does</w:t>
            </w:r>
          </w:p>
        </w:tc>
      </w:tr>
      <w:tr>
        <w:tc>
          <w:tcPr>
            <w:tcW w:type="dxa" w:w="3137"/>
          </w:tcPr>
          <w:p>
            <w:pPr>
              <w:spacing w:after="40"/>
            </w:pPr>
            <w:r>
              <w:rPr>
                <w:sz w:val="18"/>
              </w:rPr>
            </w:r>
            <w:r>
              <w:rPr>
                <w:sz w:val="18"/>
              </w:rPr>
              <w:t>Contracts</w:t>
            </w:r>
          </w:p>
        </w:tc>
        <w:tc>
          <w:tcPr>
            <w:tcW w:type="dxa" w:w="3137"/>
          </w:tcPr>
          <w:p>
            <w:pPr>
              <w:spacing w:after="40"/>
            </w:pPr>
            <w:r>
              <w:rPr>
                <w:sz w:val="18"/>
              </w:rPr>
            </w:r>
            <w:r>
              <w:rPr>
                <w:sz w:val="18"/>
              </w:rPr>
              <w:t>Obligations, dates, liability caps, termination, auto-renewal, governing law</w:t>
            </w:r>
          </w:p>
        </w:tc>
        <w:tc>
          <w:tcPr>
            <w:tcW w:type="dxa" w:w="3137"/>
          </w:tcPr>
          <w:p>
            <w:pPr>
              <w:spacing w:after="40"/>
            </w:pPr>
            <w:r>
              <w:rPr>
                <w:sz w:val="18"/>
              </w:rPr>
            </w:r>
            <w:r>
              <w:rPr>
                <w:sz w:val="18"/>
              </w:rPr>
              <w:t>Advise whether to sign</w:t>
            </w:r>
          </w:p>
        </w:tc>
      </w:tr>
      <w:tr>
        <w:tc>
          <w:tcPr>
            <w:tcW w:type="dxa" w:w="3137"/>
          </w:tcPr>
          <w:p>
            <w:pPr>
              <w:spacing w:after="40"/>
            </w:pPr>
            <w:r>
              <w:rPr>
                <w:sz w:val="18"/>
              </w:rPr>
            </w:r>
            <w:r>
              <w:rPr>
                <w:sz w:val="18"/>
              </w:rPr>
              <w:t>SOWs</w:t>
            </w:r>
          </w:p>
        </w:tc>
        <w:tc>
          <w:tcPr>
            <w:tcW w:type="dxa" w:w="3137"/>
          </w:tcPr>
          <w:p>
            <w:pPr>
              <w:spacing w:after="40"/>
            </w:pPr>
            <w:r>
              <w:rPr>
                <w:sz w:val="18"/>
              </w:rPr>
            </w:r>
            <w:r>
              <w:rPr>
                <w:sz w:val="18"/>
              </w:rPr>
              <w:t>Deliverables, acceptance criteria, change process, payment triggers</w:t>
            </w:r>
          </w:p>
        </w:tc>
        <w:tc>
          <w:tcPr>
            <w:tcW w:type="dxa" w:w="3137"/>
          </w:tcPr>
          <w:p>
            <w:pPr>
              <w:spacing w:after="40"/>
            </w:pPr>
            <w:r>
              <w:rPr>
                <w:sz w:val="18"/>
              </w:rPr>
            </w:r>
            <w:r>
              <w:rPr>
                <w:sz w:val="18"/>
              </w:rPr>
              <w:t>Accept scope on our behalf</w:t>
            </w:r>
          </w:p>
        </w:tc>
      </w:tr>
      <w:tr>
        <w:tc>
          <w:tcPr>
            <w:tcW w:type="dxa" w:w="3137"/>
          </w:tcPr>
          <w:p>
            <w:pPr>
              <w:spacing w:after="40"/>
            </w:pPr>
            <w:r>
              <w:rPr>
                <w:sz w:val="18"/>
              </w:rPr>
            </w:r>
            <w:r>
              <w:rPr>
                <w:sz w:val="18"/>
              </w:rPr>
              <w:t>NDAs</w:t>
            </w:r>
          </w:p>
        </w:tc>
        <w:tc>
          <w:tcPr>
            <w:tcW w:type="dxa" w:w="3137"/>
          </w:tcPr>
          <w:p>
            <w:pPr>
              <w:spacing w:after="40"/>
            </w:pPr>
            <w:r>
              <w:rPr>
                <w:sz w:val="18"/>
              </w:rPr>
            </w:r>
            <w:r>
              <w:rPr>
                <w:sz w:val="18"/>
              </w:rPr>
              <w:t>Duration, definition of confidential, carve-outs, residuals, mutuality</w:t>
            </w:r>
          </w:p>
        </w:tc>
        <w:tc>
          <w:tcPr>
            <w:tcW w:type="dxa" w:w="3137"/>
          </w:tcPr>
          <w:p>
            <w:pPr>
              <w:spacing w:after="40"/>
            </w:pPr>
            <w:r>
              <w:rPr>
                <w:sz w:val="18"/>
              </w:rPr>
            </w:r>
            <w:r>
              <w:rPr>
                <w:sz w:val="18"/>
              </w:rPr>
              <w:t>Decide the risk is acceptable</w:t>
            </w:r>
          </w:p>
        </w:tc>
      </w:tr>
      <w:tr>
        <w:tc>
          <w:tcPr>
            <w:tcW w:type="dxa" w:w="3137"/>
          </w:tcPr>
          <w:p>
            <w:pPr>
              <w:spacing w:after="40"/>
            </w:pPr>
            <w:r>
              <w:rPr>
                <w:sz w:val="18"/>
              </w:rPr>
            </w:r>
            <w:r>
              <w:rPr>
                <w:sz w:val="18"/>
              </w:rPr>
              <w:t>Supplier terms</w:t>
            </w:r>
          </w:p>
        </w:tc>
        <w:tc>
          <w:tcPr>
            <w:tcW w:type="dxa" w:w="3137"/>
          </w:tcPr>
          <w:p>
            <w:pPr>
              <w:spacing w:after="40"/>
            </w:pPr>
            <w:r>
              <w:rPr>
                <w:sz w:val="18"/>
              </w:rPr>
            </w:r>
            <w:r>
              <w:rPr>
                <w:sz w:val="18"/>
              </w:rPr>
              <w:t>Data processing, sub-processors, security commitments, indemnities</w:t>
            </w:r>
          </w:p>
        </w:tc>
        <w:tc>
          <w:tcPr>
            <w:tcW w:type="dxa" w:w="3137"/>
          </w:tcPr>
          <w:p>
            <w:pPr>
              <w:spacing w:after="40"/>
            </w:pPr>
            <w:r>
              <w:rPr>
                <w:sz w:val="18"/>
              </w:rPr>
            </w:r>
            <w:r>
              <w:rPr>
                <w:sz w:val="18"/>
              </w:rPr>
              <w:t>Approve a supplier</w:t>
            </w:r>
          </w:p>
        </w:tc>
      </w:tr>
    </w:tbl>
    <w:p>
      <w:pPr>
        <w:spacing w:after="40"/>
      </w:pPr>
    </w:p>
    <w:p>
      <w:r>
        <w:rPr>
          <w:b/>
        </w:rPr>
        <w:t>The most valuable extraction is what is missing.</w:t>
      </w:r>
      <w:r>
        <w:t xml:space="preserve"> A contract with no liability cap, no termination-for-convenience clause and no data-processing terms is more dangerous than one with bad versions of all three, because an absence reads as agreement.</w:t>
      </w:r>
    </w:p>
    <w:p>
      <w:pPr>
        <w:pStyle w:val="Heading1"/>
      </w:pPr>
      <w:r>
        <w:t>Comparison against our standard</w:t>
      </w:r>
    </w:p>
    <w:p>
      <w:r>
        <w:t>The agent compares an incoming document to our position and reports the deltas, ranked by consequence. This is the largest time saving available in legal work: the deltas are the negotiation, and finding them by reading is slow and error-prone at 11pm before a signature.</w:t>
      </w:r>
    </w:p>
    <w:p>
      <w:pPr>
        <w:pStyle w:val="Heading1"/>
      </w:pPr>
      <w:r>
        <w:t>Policy management</w:t>
      </w:r>
    </w:p>
    <w:p>
      <w:r>
        <w:t>Which policies exist, when each was reviewed, which contradict each other, and which reference regulations that have since changed.</w:t>
      </w:r>
    </w:p>
    <w:p>
      <w:r>
        <w:t>Policy contradiction is the quiet failure. Two policies, both current, saying different things, and whichever one is quoted in an incident is the one the other side did not read.</w:t>
      </w:r>
    </w:p>
    <w:p>
      <w:pPr>
        <w:pStyle w:val="Heading1"/>
      </w:pPr>
      <w:r>
        <w:t>Regulatory monitoring</w:t>
      </w:r>
    </w:p>
    <w:p>
      <w:r>
        <w:t>What is changing in the jurisdictions we operate in, and what it would require of us. Filtered by relevance, dated, and always with the primary source attached.</w:t>
      </w:r>
    </w:p>
    <w:p>
      <w:r>
        <w:rPr>
          <w:b/>
        </w:rPr>
        <w:t>Generated summaries of regulation are a specific hazard.</w:t>
      </w:r>
      <w:r>
        <w:t xml:space="preserve"> They are fluent, confident and occasionally wrong about the one clause that matters, and the error surfaces only when it is expensive. The summary points at the source; the source is what gets read before anything is decided.</w:t>
      </w:r>
    </w:p>
    <w:p>
      <w:pPr>
        <w:pStyle w:val="Heading1"/>
      </w:pPr>
      <w:r>
        <w:t>What stays with a person, without exception</w:t>
      </w:r>
    </w:p>
    <w:p>
      <w:pPr>
        <w:pStyle w:val="ListBullet"/>
      </w:pPr>
      <w:r>
        <w:rPr>
          <w:b/>
        </w:rPr>
        <w:t>Any advice.</w:t>
      </w:r>
      <w:r>
        <w:t xml:space="preserve"> Full stop.</w:t>
      </w:r>
    </w:p>
    <w:p>
      <w:pPr>
        <w:pStyle w:val="ListBullet"/>
      </w:pPr>
      <w:r>
        <w:rPr>
          <w:b/>
        </w:rPr>
        <w:t>Signing anything.</w:t>
      </w:r>
    </w:p>
    <w:p>
      <w:pPr>
        <w:pStyle w:val="ListBullet"/>
      </w:pPr>
      <w:r>
        <w:rPr>
          <w:b/>
        </w:rPr>
        <w:t>Accepting a liability, an indemnity or a data-processing obligation.</w:t>
      </w:r>
    </w:p>
    <w:p>
      <w:pPr>
        <w:pStyle w:val="ListBullet"/>
      </w:pPr>
      <w:r>
        <w:rPr>
          <w:b/>
        </w:rPr>
        <w:t>Interpreting an ambiguous clause.</w:t>
      </w:r>
      <w:r>
        <w:t xml:space="preserve"> Ambiguity is where the argument will be, which is exactly</w:t>
      </w:r>
    </w:p>
    <w:p>
      <w:r>
        <w:t>where judgement is required.</w:t>
      </w:r>
    </w:p>
    <w:p>
      <w:pPr>
        <w:pStyle w:val="ListBullet"/>
      </w:pPr>
      <w:r>
        <w:rPr>
          <w:b/>
        </w:rPr>
        <w:t>Deciding a regulation applies to us</w:t>
      </w:r>
      <w:r>
        <w:t>, or does not.</w:t>
      </w:r>
    </w:p>
    <w:p>
      <w:pPr>
        <w:pStyle w:val="ListBullet"/>
      </w:pPr>
      <w:r>
        <w:rPr>
          <w:b/>
        </w:rPr>
        <w:t>Anything said to a regulator, a court or opposing counsel.</w:t>
      </w:r>
    </w:p>
    <w:p>
      <w:pPr>
        <w:pStyle w:val="Heading1"/>
      </w:pPr>
      <w:r>
        <w:t>The standing position</w:t>
      </w:r>
    </w:p>
    <w:p>
      <w:r>
        <w:t>Legal accountability sits with a qualified human and does not move with better tooling. An agent that reads a thousand contracts and misses one indemnity has produced a thousand useful summaries and one liability, and the second outweighs the first.</w:t>
      </w:r>
    </w:p>
    <w:p>
      <w:r>
        <w:t xml:space="preserve">The practical rule for everyone outside this function: </w:t>
      </w:r>
      <w:r>
        <w:rPr>
          <w:b/>
        </w:rPr>
        <w:t>an extraction is the start of a conversation with Legal, never a substitute for one.</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Legal: what is automated, and what is not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what is automated, and what is not</dc:title>
  <dc:subject/>
  <dc:creator>BvLogic</dc:creator>
  <cp:keywords>BvLogic, Agents, enterprise AI, Legal: what is automated, and what is not</cp:keywords>
  <dc:description/>
  <cp:lastModifiedBy/>
  <cp:revision>1</cp:revision>
  <dcterms:created xsi:type="dcterms:W3CDTF">2013-12-23T23:15:00Z</dcterms:created>
  <dcterms:modified xsi:type="dcterms:W3CDTF">2013-12-23T23:15:00Z</dcterms:modified>
  <cp:category>Agents</cp:category>
  <dc:language>en-GB</dc:language>
</cp:coreProperties>
</file>