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WORKFLOW</w:t>
      </w:r>
    </w:p>
    <w:p>
      <w:pPr>
        <w:spacing w:after="160"/>
      </w:pPr>
      <w:r>
        <w:rPr>
          <w:rFonts w:ascii="Georgia" w:hAnsi="Georgia"/>
          <w:b/>
          <w:color w:val="0F141A"/>
          <w:sz w:val="56"/>
        </w:rPr>
        <w:t>Knowledge Management: how work moves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BVL-BC7A2D</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Workflow</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In a conventional company this function is administrative. In one where agents read the documents to decide how to act, it is load-bearing, and a stale page stops being an inconvenience and becomes an instruction.</w:t>
      </w:r>
    </w:p>
    <w:p>
      <w:pPr>
        <w:pStyle w:val="Heading1"/>
      </w:pPr>
      <w:r>
        <w:t>What arrives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From</w:t>
            </w:r>
          </w:p>
        </w:tc>
        <w:tc>
          <w:tcPr>
            <w:tcW w:type="dxa" w:w="3137"/>
            <w:shd w:val="clear" w:color="auto" w:fill="F1EAFE"/>
          </w:tcPr>
          <w:p>
            <w:pPr>
              <w:spacing w:after="40"/>
            </w:pPr>
            <w:r>
              <w:rPr>
                <w:b/>
                <w:sz w:val="18"/>
              </w:rPr>
            </w:r>
            <w:r>
              <w:rPr>
                <w:b/>
                <w:sz w:val="18"/>
              </w:rPr>
              <w:t>What</w:t>
            </w:r>
          </w:p>
        </w:tc>
        <w:tc>
          <w:tcPr>
            <w:tcW w:type="dxa" w:w="3137"/>
            <w:shd w:val="clear" w:color="auto" w:fill="F1EAFE"/>
          </w:tcPr>
          <w:p>
            <w:pPr>
              <w:spacing w:after="40"/>
            </w:pPr>
            <w:r>
              <w:rPr>
                <w:b/>
                <w:sz w:val="18"/>
              </w:rPr>
            </w:r>
            <w:r>
              <w:rPr>
                <w:b/>
                <w:sz w:val="18"/>
              </w:rPr>
              <w:t>Becomes</w:t>
            </w:r>
          </w:p>
        </w:tc>
      </w:tr>
      <w:tr>
        <w:tc>
          <w:tcPr>
            <w:tcW w:type="dxa" w:w="3137"/>
          </w:tcPr>
          <w:p>
            <w:pPr>
              <w:spacing w:after="40"/>
            </w:pPr>
            <w:r>
              <w:rPr>
                <w:sz w:val="18"/>
              </w:rPr>
            </w:r>
            <w:r>
              <w:rPr>
                <w:sz w:val="18"/>
              </w:rPr>
              <w:t>Every function</w:t>
            </w:r>
          </w:p>
        </w:tc>
        <w:tc>
          <w:tcPr>
            <w:tcW w:type="dxa" w:w="3137"/>
          </w:tcPr>
          <w:p>
            <w:pPr>
              <w:spacing w:after="40"/>
            </w:pPr>
            <w:r>
              <w:rPr>
                <w:sz w:val="18"/>
              </w:rPr>
            </w:r>
            <w:r>
              <w:rPr>
                <w:sz w:val="18"/>
              </w:rPr>
              <w:t>Decisions and their reasoning</w:t>
            </w:r>
          </w:p>
        </w:tc>
        <w:tc>
          <w:tcPr>
            <w:tcW w:type="dxa" w:w="3137"/>
          </w:tcPr>
          <w:p>
            <w:pPr>
              <w:spacing w:after="40"/>
            </w:pPr>
            <w:r>
              <w:rPr>
                <w:sz w:val="18"/>
              </w:rPr>
            </w:r>
            <w:r>
              <w:rPr>
                <w:sz w:val="18"/>
              </w:rPr>
              <w:t>Decision records, within 24 hours</w:t>
            </w:r>
          </w:p>
        </w:tc>
      </w:tr>
      <w:tr>
        <w:tc>
          <w:tcPr>
            <w:tcW w:type="dxa" w:w="3137"/>
          </w:tcPr>
          <w:p>
            <w:pPr>
              <w:spacing w:after="40"/>
            </w:pPr>
            <w:r>
              <w:rPr>
                <w:sz w:val="18"/>
              </w:rPr>
            </w:r>
            <w:r>
              <w:rPr>
                <w:sz w:val="18"/>
              </w:rPr>
              <w:t>Engineering</w:t>
            </w:r>
          </w:p>
        </w:tc>
        <w:tc>
          <w:tcPr>
            <w:tcW w:type="dxa" w:w="3137"/>
          </w:tcPr>
          <w:p>
            <w:pPr>
              <w:spacing w:after="40"/>
            </w:pPr>
            <w:r>
              <w:rPr>
                <w:sz w:val="18"/>
              </w:rPr>
            </w:r>
            <w:r>
              <w:rPr>
                <w:sz w:val="18"/>
              </w:rPr>
              <w:t xml:space="preserve">Architecture decisions, </w:t>
            </w:r>
            <w:r>
              <w:rPr>
                <w:b/>
                <w:sz w:val="18"/>
              </w:rPr>
              <w:t>and rejected options</w:t>
            </w:r>
          </w:p>
        </w:tc>
        <w:tc>
          <w:tcPr>
            <w:tcW w:type="dxa" w:w="3137"/>
          </w:tcPr>
          <w:p>
            <w:pPr>
              <w:spacing w:after="40"/>
            </w:pPr>
            <w:r>
              <w:rPr>
                <w:sz w:val="18"/>
              </w:rPr>
            </w:r>
            <w:r>
              <w:rPr>
                <w:sz w:val="18"/>
              </w:rPr>
              <w:t>The record that stops re-argument</w:t>
            </w:r>
          </w:p>
        </w:tc>
      </w:tr>
      <w:tr>
        <w:tc>
          <w:tcPr>
            <w:tcW w:type="dxa" w:w="3137"/>
          </w:tcPr>
          <w:p>
            <w:pPr>
              <w:spacing w:after="40"/>
            </w:pPr>
            <w:r>
              <w:rPr>
                <w:sz w:val="18"/>
              </w:rPr>
            </w:r>
            <w:r>
              <w:rPr>
                <w:sz w:val="18"/>
              </w:rPr>
              <w:t>Security and DevOps</w:t>
            </w:r>
          </w:p>
        </w:tc>
        <w:tc>
          <w:tcPr>
            <w:tcW w:type="dxa" w:w="3137"/>
          </w:tcPr>
          <w:p>
            <w:pPr>
              <w:spacing w:after="40"/>
            </w:pPr>
            <w:r>
              <w:rPr>
                <w:sz w:val="18"/>
              </w:rPr>
            </w:r>
            <w:r>
              <w:rPr>
                <w:sz w:val="18"/>
              </w:rPr>
              <w:t>Postmortems</w:t>
            </w:r>
          </w:p>
        </w:tc>
        <w:tc>
          <w:tcPr>
            <w:tcW w:type="dxa" w:w="3137"/>
          </w:tcPr>
          <w:p>
            <w:pPr>
              <w:spacing w:after="40"/>
            </w:pPr>
            <w:r>
              <w:rPr>
                <w:sz w:val="18"/>
              </w:rPr>
            </w:r>
            <w:r>
              <w:rPr>
                <w:sz w:val="18"/>
              </w:rPr>
              <w:t>Lessons, and detection improvements</w:t>
            </w:r>
          </w:p>
        </w:tc>
      </w:tr>
      <w:tr>
        <w:tc>
          <w:tcPr>
            <w:tcW w:type="dxa" w:w="3137"/>
          </w:tcPr>
          <w:p>
            <w:pPr>
              <w:spacing w:after="40"/>
            </w:pPr>
            <w:r>
              <w:rPr>
                <w:sz w:val="18"/>
              </w:rPr>
            </w:r>
            <w:r>
              <w:rPr>
                <w:sz w:val="18"/>
              </w:rPr>
              <w:t>Research</w:t>
            </w:r>
          </w:p>
        </w:tc>
        <w:tc>
          <w:tcPr>
            <w:tcW w:type="dxa" w:w="3137"/>
          </w:tcPr>
          <w:p>
            <w:pPr>
              <w:spacing w:after="40"/>
            </w:pPr>
            <w:r>
              <w:rPr>
                <w:sz w:val="18"/>
              </w:rPr>
            </w:r>
            <w:r>
              <w:rPr>
                <w:sz w:val="18"/>
              </w:rPr>
              <w:t>Findings, especially negative ones</w:t>
            </w:r>
          </w:p>
        </w:tc>
        <w:tc>
          <w:tcPr>
            <w:tcW w:type="dxa" w:w="3137"/>
          </w:tcPr>
          <w:p>
            <w:pPr>
              <w:spacing w:after="40"/>
            </w:pPr>
            <w:r>
              <w:rPr>
                <w:sz w:val="18"/>
              </w:rPr>
            </w:r>
            <w:r>
              <w:rPr>
                <w:sz w:val="18"/>
              </w:rPr>
              <w:t>The record that stops paying twice</w:t>
            </w:r>
          </w:p>
        </w:tc>
      </w:tr>
      <w:tr>
        <w:tc>
          <w:tcPr>
            <w:tcW w:type="dxa" w:w="3137"/>
          </w:tcPr>
          <w:p>
            <w:pPr>
              <w:spacing w:after="40"/>
            </w:pPr>
            <w:r>
              <w:rPr>
                <w:sz w:val="18"/>
              </w:rPr>
            </w:r>
            <w:r>
              <w:rPr>
                <w:sz w:val="18"/>
              </w:rPr>
              <w:t>Sales</w:t>
            </w:r>
          </w:p>
        </w:tc>
        <w:tc>
          <w:tcPr>
            <w:tcW w:type="dxa" w:w="3137"/>
          </w:tcPr>
          <w:p>
            <w:pPr>
              <w:spacing w:after="40"/>
            </w:pPr>
            <w:r>
              <w:rPr>
                <w:sz w:val="18"/>
              </w:rPr>
            </w:r>
            <w:r>
              <w:rPr>
                <w:sz w:val="18"/>
              </w:rPr>
              <w:t>Proposals, and what won</w:t>
            </w:r>
          </w:p>
        </w:tc>
        <w:tc>
          <w:tcPr>
            <w:tcW w:type="dxa" w:w="3137"/>
          </w:tcPr>
          <w:p>
            <w:pPr>
              <w:spacing w:after="40"/>
            </w:pPr>
            <w:r>
              <w:rPr>
                <w:sz w:val="18"/>
              </w:rPr>
            </w:r>
            <w:r>
              <w:rPr>
                <w:sz w:val="18"/>
              </w:rPr>
              <w:t>Reusable material</w:t>
            </w:r>
          </w:p>
        </w:tc>
      </w:tr>
      <w:tr>
        <w:tc>
          <w:tcPr>
            <w:tcW w:type="dxa" w:w="3137"/>
          </w:tcPr>
          <w:p>
            <w:pPr>
              <w:spacing w:after="40"/>
            </w:pPr>
            <w:r>
              <w:rPr>
                <w:sz w:val="18"/>
              </w:rPr>
            </w:r>
            <w:r>
              <w:rPr>
                <w:sz w:val="18"/>
              </w:rPr>
              <w:t>PMO</w:t>
            </w:r>
          </w:p>
        </w:tc>
        <w:tc>
          <w:tcPr>
            <w:tcW w:type="dxa" w:w="3137"/>
          </w:tcPr>
          <w:p>
            <w:pPr>
              <w:spacing w:after="40"/>
            </w:pPr>
            <w:r>
              <w:rPr>
                <w:sz w:val="18"/>
              </w:rPr>
            </w:r>
            <w:r>
              <w:rPr>
                <w:sz w:val="18"/>
              </w:rPr>
              <w:t>Project history and client context</w:t>
            </w:r>
          </w:p>
        </w:tc>
        <w:tc>
          <w:tcPr>
            <w:tcW w:type="dxa" w:w="3137"/>
          </w:tcPr>
          <w:p>
            <w:pPr>
              <w:spacing w:after="40"/>
            </w:pPr>
            <w:r>
              <w:rPr>
                <w:sz w:val="18"/>
              </w:rPr>
            </w:r>
            <w:r>
              <w:rPr>
                <w:sz w:val="18"/>
              </w:rPr>
              <w:t>Departure-proof knowledge</w:t>
            </w:r>
          </w:p>
        </w:tc>
      </w:tr>
      <w:tr>
        <w:tc>
          <w:tcPr>
            <w:tcW w:type="dxa" w:w="3137"/>
          </w:tcPr>
          <w:p>
            <w:pPr>
              <w:spacing w:after="40"/>
            </w:pPr>
            <w:r>
              <w:rPr>
                <w:sz w:val="18"/>
              </w:rPr>
            </w:r>
            <w:r>
              <w:rPr>
                <w:sz w:val="18"/>
              </w:rPr>
              <w:t>People leaving</w:t>
            </w:r>
          </w:p>
        </w:tc>
        <w:tc>
          <w:tcPr>
            <w:tcW w:type="dxa" w:w="3137"/>
          </w:tcPr>
          <w:p>
            <w:pPr>
              <w:spacing w:after="40"/>
            </w:pPr>
            <w:r>
              <w:rPr>
                <w:sz w:val="18"/>
              </w:rPr>
            </w:r>
            <w:r>
              <w:rPr>
                <w:sz w:val="18"/>
              </w:rPr>
              <w:t>What only they know</w:t>
            </w:r>
          </w:p>
        </w:tc>
        <w:tc>
          <w:tcPr>
            <w:tcW w:type="dxa" w:w="3137"/>
          </w:tcPr>
          <w:p>
            <w:pPr>
              <w:spacing w:after="40"/>
            </w:pPr>
            <w:r>
              <w:rPr>
                <w:sz w:val="18"/>
              </w:rPr>
            </w:r>
            <w:r>
              <w:rPr>
                <w:sz w:val="18"/>
              </w:rPr>
              <w:t>Captured in the first week of notice, not the last</w:t>
            </w:r>
          </w:p>
        </w:tc>
      </w:tr>
    </w:tbl>
    <w:p>
      <w:pPr>
        <w:spacing w:after="40"/>
      </w:pPr>
    </w:p>
    <w:p>
      <w:pPr>
        <w:pStyle w:val="Heading1"/>
      </w:pPr>
      <w:r>
        <w:t>What leaves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To</w:t>
            </w:r>
          </w:p>
        </w:tc>
        <w:tc>
          <w:tcPr>
            <w:tcW w:type="dxa" w:w="4706"/>
            <w:shd w:val="clear" w:color="auto" w:fill="F1EAFE"/>
          </w:tcPr>
          <w:p>
            <w:pPr>
              <w:spacing w:after="40"/>
            </w:pPr>
            <w:r>
              <w:rPr>
                <w:b/>
                <w:sz w:val="18"/>
              </w:rPr>
            </w:r>
            <w:r>
              <w:rPr>
                <w:b/>
                <w:sz w:val="18"/>
              </w:rPr>
              <w:t>What</w:t>
            </w:r>
          </w:p>
        </w:tc>
      </w:tr>
      <w:tr>
        <w:tc>
          <w:tcPr>
            <w:tcW w:type="dxa" w:w="4706"/>
          </w:tcPr>
          <w:p>
            <w:pPr>
              <w:spacing w:after="40"/>
            </w:pPr>
            <w:r>
              <w:rPr>
                <w:sz w:val="18"/>
              </w:rPr>
            </w:r>
            <w:r>
              <w:rPr>
                <w:sz w:val="18"/>
              </w:rPr>
              <w:t>Anyone asking</w:t>
            </w:r>
          </w:p>
        </w:tc>
        <w:tc>
          <w:tcPr>
            <w:tcW w:type="dxa" w:w="4706"/>
          </w:tcPr>
          <w:p>
            <w:pPr>
              <w:spacing w:after="40"/>
            </w:pPr>
            <w:r>
              <w:rPr>
                <w:sz w:val="18"/>
              </w:rPr>
            </w:r>
            <w:r>
              <w:rPr>
                <w:sz w:val="18"/>
              </w:rPr>
              <w:t>An answer with citations, or an honest "not here"</w:t>
            </w:r>
          </w:p>
        </w:tc>
      </w:tr>
      <w:tr>
        <w:tc>
          <w:tcPr>
            <w:tcW w:type="dxa" w:w="4706"/>
          </w:tcPr>
          <w:p>
            <w:pPr>
              <w:spacing w:after="40"/>
            </w:pPr>
            <w:r>
              <w:rPr>
                <w:sz w:val="18"/>
              </w:rPr>
            </w:r>
            <w:r>
              <w:rPr>
                <w:sz w:val="18"/>
              </w:rPr>
              <w:t>Every agent</w:t>
            </w:r>
          </w:p>
        </w:tc>
        <w:tc>
          <w:tcPr>
            <w:tcW w:type="dxa" w:w="4706"/>
          </w:tcPr>
          <w:p>
            <w:pPr>
              <w:spacing w:after="40"/>
            </w:pPr>
            <w:r>
              <w:rPr>
                <w:sz w:val="18"/>
              </w:rPr>
            </w:r>
            <w:r>
              <w:rPr>
                <w:sz w:val="18"/>
              </w:rPr>
              <w:t>The context bundle it reads, reviewed quarterly</w:t>
            </w:r>
          </w:p>
        </w:tc>
      </w:tr>
      <w:tr>
        <w:tc>
          <w:tcPr>
            <w:tcW w:type="dxa" w:w="4706"/>
          </w:tcPr>
          <w:p>
            <w:pPr>
              <w:spacing w:after="40"/>
            </w:pPr>
            <w:r>
              <w:rPr>
                <w:sz w:val="18"/>
              </w:rPr>
            </w:r>
            <w:r>
              <w:rPr>
                <w:sz w:val="18"/>
              </w:rPr>
              <w:t>New joiners</w:t>
            </w:r>
          </w:p>
        </w:tc>
        <w:tc>
          <w:tcPr>
            <w:tcW w:type="dxa" w:w="4706"/>
          </w:tcPr>
          <w:p>
            <w:pPr>
              <w:spacing w:after="40"/>
            </w:pPr>
            <w:r>
              <w:rPr>
                <w:sz w:val="18"/>
              </w:rPr>
            </w:r>
            <w:r>
              <w:rPr>
                <w:sz w:val="18"/>
              </w:rPr>
              <w:t>A path from nothing to useful</w:t>
            </w:r>
          </w:p>
        </w:tc>
      </w:tr>
      <w:tr>
        <w:tc>
          <w:tcPr>
            <w:tcW w:type="dxa" w:w="4706"/>
          </w:tcPr>
          <w:p>
            <w:pPr>
              <w:spacing w:after="40"/>
            </w:pPr>
            <w:r>
              <w:rPr>
                <w:sz w:val="18"/>
              </w:rPr>
            </w:r>
            <w:r>
              <w:rPr>
                <w:sz w:val="18"/>
              </w:rPr>
              <w:t>Marketing</w:t>
            </w:r>
          </w:p>
        </w:tc>
        <w:tc>
          <w:tcPr>
            <w:tcW w:type="dxa" w:w="4706"/>
          </w:tcPr>
          <w:p>
            <w:pPr>
              <w:spacing w:after="40"/>
            </w:pPr>
            <w:r>
              <w:rPr>
                <w:sz w:val="18"/>
              </w:rPr>
            </w:r>
            <w:r>
              <w:rPr>
                <w:sz w:val="18"/>
              </w:rPr>
              <w:t>Material worth publishing, once cleared</w:t>
            </w:r>
          </w:p>
        </w:tc>
      </w:tr>
      <w:tr>
        <w:tc>
          <w:tcPr>
            <w:tcW w:type="dxa" w:w="4706"/>
          </w:tcPr>
          <w:p>
            <w:pPr>
              <w:spacing w:after="40"/>
            </w:pPr>
            <w:r>
              <w:rPr>
                <w:sz w:val="18"/>
              </w:rPr>
            </w:r>
            <w:r>
              <w:rPr>
                <w:sz w:val="18"/>
              </w:rPr>
              <w:t>Leadership</w:t>
            </w:r>
          </w:p>
        </w:tc>
        <w:tc>
          <w:tcPr>
            <w:tcW w:type="dxa" w:w="4706"/>
          </w:tcPr>
          <w:p>
            <w:pPr>
              <w:spacing w:after="40"/>
            </w:pPr>
            <w:r>
              <w:rPr>
                <w:sz w:val="18"/>
              </w:rPr>
            </w:r>
            <w:r>
              <w:rPr>
                <w:sz w:val="18"/>
              </w:rPr>
              <w:t>The knowledge risk register: what exists in one head only</w:t>
            </w:r>
          </w:p>
        </w:tc>
      </w:tr>
    </w:tbl>
    <w:p>
      <w:pPr>
        <w:spacing w:after="40"/>
      </w:pPr>
    </w:p>
    <w:p>
      <w:pPr>
        <w:pStyle w:val="Heading1"/>
      </w:pPr>
      <w:r>
        <w:t>The cycle</w:t>
      </w:r>
    </w:p>
    <w:p>
      <w:pPr>
        <w:shd w:val="clear" w:color="auto" w:fill="F4F5F7"/>
      </w:pPr>
      <w:r>
        <w:rPr>
          <w:rFonts w:ascii="Consolas" w:hAnsi="Consolas"/>
          <w:sz w:val="18"/>
        </w:rPr>
        <w:t>{</w:t>
        <w:br/>
        <w:t xml:space="preserve">  "title": "Capture, authority, retrieval, retirement",</w:t>
        <w:br/>
        <w:t xml:space="preserve">  "caption": "Capture is nearly free now. Retirement is the hard part and the step every knowledge base skips, which is why the share of true content falls year on year.",</w:t>
        <w:br/>
        <w:t xml:space="preserve">  "lanes": [</w:t>
        <w:br/>
        <w:t xml:space="preserve">    { "label": "In", "arrows": true, "nodes": [</w:t>
        <w:br/>
        <w:t xml:space="preserve">      { "label": "Decision or lesson" },</w:t>
        <w:br/>
        <w:t xml:space="preserve">      { "label": "Drafted in 24h" },</w:t>
        <w:br/>
        <w:t xml:space="preserve">      { "label": "Owner confirms" } ] },</w:t>
        <w:br/>
        <w:t xml:space="preserve">    { "label": "Live", "arrows": true, "nodes": [</w:t>
        <w:br/>
        <w:t xml:space="preserve">      { "label": "One authority" },</w:t>
        <w:br/>
        <w:t xml:space="preserve">      { "label": "Review date set" },</w:t>
        <w:br/>
        <w:t xml:space="preserve">      { "label": "Retrieved with sources" } ] },</w:t>
        <w:br/>
        <w:t xml:space="preserve">    { "label": "Out", "arrows": true, "nodes": [</w:t>
        <w:br/>
        <w:t xml:space="preserve">      { "label": "Past review date" },</w:t>
        <w:br/>
        <w:t xml:space="preserve">      { "label": "Confirm, update or retire" },</w:t>
        <w:br/>
        <w:t xml:space="preserve">      { "label": "Superseded, pointer kept" } ] }</w:t>
        <w:br/>
        <w:t xml:space="preserve">  ]</w:t>
        <w:br/>
        <w:t>}</w:t>
      </w:r>
    </w:p>
    <w:p>
      <w:r>
        <w:t>The third lane is the one nobody builds, and it is the difference between a knowledge base and an archive.</w:t>
      </w:r>
    </w:p>
    <w:p>
      <w:pPr>
        <w:pStyle w:val="Heading1"/>
      </w:pPr>
      <w:r>
        <w:t>Handoff contracts</w:t>
      </w:r>
    </w:p>
    <w:p>
      <w:r>
        <w:rPr>
          <w:b/>
        </w:rPr>
        <w:t>With every function.</w:t>
      </w:r>
      <w:r>
        <w:t xml:space="preserve"> Decisions arrive within 24 hours with their reasoning. The agent drafts; the decision owner confirms. Nobody is asked to write a document from scratch, because that is the requirement that quietly ends every knowledge programme.</w:t>
      </w:r>
    </w:p>
    <w:p>
      <w:r>
        <w:rPr>
          <w:b/>
        </w:rPr>
        <w:t>With Engineering.</w:t>
      </w:r>
      <w:r>
        <w:t xml:space="preserve"> Architecture decisions arrive </w:t>
      </w:r>
      <w:r>
        <w:rPr>
          <w:b/>
        </w:rPr>
        <w:t>with rejected options</w:t>
      </w:r>
      <w:r>
        <w:t>. Without them, the same debate recurs every eighteen months among people who cannot tell whether the current design was chosen or defaulted into.</w:t>
      </w:r>
    </w:p>
    <w:p>
      <w:r>
        <w:rPr>
          <w:b/>
        </w:rPr>
        <w:t>With HR.</w:t>
      </w:r>
      <w:r>
        <w:t xml:space="preserve"> Departure capture starts in the first week of a notice period.</w:t>
      </w:r>
    </w:p>
    <w:p>
      <w:r>
        <w:rPr>
          <w:b/>
        </w:rPr>
        <w:t>With AI Engineering and Product.</w:t>
      </w:r>
      <w:r>
        <w:t xml:space="preserve"> What each agent reads is agreed here and reviewed quarterly. It is the highest-consequence text in the company and the easiest to let accumulate.</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Continuous</w:t>
            </w:r>
          </w:p>
        </w:tc>
        <w:tc>
          <w:tcPr>
            <w:tcW w:type="dxa" w:w="4706"/>
            <w:shd w:val="clear" w:color="auto" w:fill="F1EAFE"/>
          </w:tcPr>
          <w:p>
            <w:pPr>
              <w:spacing w:after="40"/>
            </w:pPr>
            <w:r>
              <w:rPr>
                <w:b/>
                <w:sz w:val="18"/>
              </w:rPr>
            </w:r>
            <w:r>
              <w:rPr>
                <w:b/>
                <w:sz w:val="18"/>
              </w:rPr>
              <w:t>Capture</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Staleness, duplicate authorities</w:t>
            </w:r>
          </w:p>
        </w:tc>
      </w:tr>
      <w:tr>
        <w:tc>
          <w:tcPr>
            <w:tcW w:type="dxa" w:w="4706"/>
          </w:tcPr>
          <w:p>
            <w:pPr>
              <w:spacing w:after="40"/>
            </w:pPr>
            <w:r>
              <w:rPr>
                <w:sz w:val="18"/>
              </w:rPr>
            </w:r>
            <w:r>
              <w:rPr>
                <w:sz w:val="18"/>
              </w:rPr>
              <w:t>Quarterly</w:t>
            </w:r>
          </w:p>
        </w:tc>
        <w:tc>
          <w:tcPr>
            <w:tcW w:type="dxa" w:w="4706"/>
          </w:tcPr>
          <w:p>
            <w:pPr>
              <w:spacing w:after="40"/>
            </w:pPr>
            <w:r>
              <w:rPr>
                <w:sz w:val="18"/>
              </w:rPr>
            </w:r>
            <w:r>
              <w:rPr>
                <w:b/>
                <w:sz w:val="18"/>
              </w:rPr>
              <w:t>Retirement pass</w:t>
            </w:r>
            <w:r>
              <w:rPr>
                <w:sz w:val="18"/>
              </w:rPr>
              <w:t>, context review, knowledge risk register</w:t>
            </w:r>
          </w:p>
        </w:tc>
      </w:tr>
      <w:tr>
        <w:tc>
          <w:tcPr>
            <w:tcW w:type="dxa" w:w="4706"/>
          </w:tcPr>
          <w:p>
            <w:pPr>
              <w:spacing w:after="40"/>
            </w:pPr>
            <w:r>
              <w:rPr>
                <w:sz w:val="18"/>
              </w:rPr>
            </w:r>
            <w:r>
              <w:rPr>
                <w:sz w:val="18"/>
              </w:rPr>
              <w:t>On notice</w:t>
            </w:r>
          </w:p>
        </w:tc>
        <w:tc>
          <w:tcPr>
            <w:tcW w:type="dxa" w:w="4706"/>
          </w:tcPr>
          <w:p>
            <w:pPr>
              <w:spacing w:after="40"/>
            </w:pPr>
            <w:r>
              <w:rPr>
                <w:sz w:val="18"/>
              </w:rPr>
            </w:r>
            <w:r>
              <w:rPr>
                <w:sz w:val="18"/>
              </w:rPr>
              <w:t>Departure capture, first week</w:t>
            </w:r>
          </w:p>
        </w:tc>
      </w:tr>
    </w:tbl>
    <w:p>
      <w:pPr>
        <w:spacing w:after="40"/>
      </w:pPr>
    </w:p>
    <w:p>
      <w:pPr>
        <w:pStyle w:val="Heading1"/>
      </w:pPr>
      <w:r>
        <w:t>The failure this design is built against</w:t>
      </w:r>
    </w:p>
    <w:p>
      <w:r>
        <w:t>A wiki with four thousand pages, of which perhaps eight hundred are still true, and nobody able to say which. People stop using it, ask a colleague instead, and the knowledge that was supposed to be institutional is once again personal.</w:t>
      </w:r>
    </w:p>
    <w:p>
      <w:r>
        <w:t>In an AI-operated company that failure escalates: the agents cannot ask a colleague. They read what is there, believe it, and produce confident, consistent, incorrect work at volume.</w:t>
      </w:r>
    </w:p>
    <w:p>
      <w:r>
        <w:t>Retirement is the whole answer, and it is why the retirement rate is a headline metric rather than housekeeping.</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Knowledge Management: how work moves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Knowledge Management: how work moves</dc:title>
  <dc:subject/>
  <dc:creator>BvLogic</dc:creator>
  <cp:keywords>BvLogic, Workflow, enterprise AI, Knowledge Management: how work moves</cp:keywords>
  <dc:description/>
  <cp:lastModifiedBy/>
  <cp:revision>1</cp:revision>
  <dcterms:created xsi:type="dcterms:W3CDTF">2013-12-23T23:15:00Z</dcterms:created>
  <dcterms:modified xsi:type="dcterms:W3CDTF">2013-12-23T23:15:00Z</dcterms:modified>
  <cp:category>Workflow</cp:category>
  <dc:language>en-GB</dc:language>
</cp:coreProperties>
</file>