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Knowledge Management: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BVL-CE6A9C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Decision record</w:t>
      </w:r>
    </w:p>
    <w:p>
      <w:r>
        <w:t>Within 24 hours. Drafted by an agent, confirmed by whoever decided.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Decision</w:t>
            </w:r>
          </w:p>
        </w:tc>
        <w:tc>
          <w:tcPr>
            <w:tcW w:type="dxa" w:w="4706"/>
          </w:tcPr>
          <w:p>
            <w:pPr>
              <w:spacing w:after="40"/>
            </w:pPr>
            <w:r>
              <w:rPr>
                <w:sz w:val="18"/>
              </w:rPr>
            </w:r>
          </w:p>
        </w:tc>
      </w:tr>
      <w:tr>
        <w:tc>
          <w:tcPr>
            <w:tcW w:type="dxa" w:w="4706"/>
          </w:tcPr>
          <w:p>
            <w:pPr>
              <w:spacing w:after="40"/>
            </w:pPr>
            <w:r>
              <w:rPr>
                <w:sz w:val="18"/>
              </w:rPr>
            </w:r>
            <w:r>
              <w:rPr>
                <w:sz w:val="18"/>
              </w:rPr>
              <w:t>Date and decider</w:t>
            </w:r>
          </w:p>
        </w:tc>
        <w:tc>
          <w:tcPr>
            <w:tcW w:type="dxa" w:w="4706"/>
          </w:tcPr>
          <w:p>
            <w:pPr>
              <w:spacing w:after="40"/>
            </w:pPr>
            <w:r>
              <w:rPr>
                <w:sz w:val="18"/>
              </w:rPr>
            </w:r>
            <w:r>
              <w:rPr>
                <w:sz w:val="18"/>
              </w:rPr>
              <w:t>[A name]</w:t>
            </w:r>
          </w:p>
        </w:tc>
      </w:tr>
      <w:tr>
        <w:tc>
          <w:tcPr>
            <w:tcW w:type="dxa" w:w="4706"/>
          </w:tcPr>
          <w:p>
            <w:pPr>
              <w:spacing w:after="40"/>
            </w:pPr>
            <w:r>
              <w:rPr>
                <w:sz w:val="18"/>
              </w:rPr>
            </w:r>
            <w:r>
              <w:rPr>
                <w:sz w:val="18"/>
              </w:rPr>
              <w:t>Context</w:t>
            </w:r>
          </w:p>
        </w:tc>
        <w:tc>
          <w:tcPr>
            <w:tcW w:type="dxa" w:w="4706"/>
          </w:tcPr>
          <w:p>
            <w:pPr>
              <w:spacing w:after="40"/>
            </w:pPr>
            <w:r>
              <w:rPr>
                <w:sz w:val="18"/>
              </w:rPr>
            </w:r>
            <w:r>
              <w:rPr>
                <w:sz w:val="18"/>
              </w:rPr>
              <w:t>[What forced the question now. Reconstructed later, this row is always wrong]</w:t>
            </w:r>
          </w:p>
        </w:tc>
      </w:tr>
      <w:tr>
        <w:tc>
          <w:tcPr>
            <w:tcW w:type="dxa" w:w="4706"/>
          </w:tcPr>
          <w:p>
            <w:pPr>
              <w:spacing w:after="40"/>
            </w:pPr>
            <w:r>
              <w:rPr>
                <w:sz w:val="18"/>
              </w:rPr>
            </w:r>
            <w:r>
              <w:rPr>
                <w:sz w:val="18"/>
              </w:rPr>
              <w:t>Options considered</w:t>
            </w:r>
          </w:p>
        </w:tc>
        <w:tc>
          <w:tcPr>
            <w:tcW w:type="dxa" w:w="4706"/>
          </w:tcPr>
          <w:p>
            <w:pPr>
              <w:spacing w:after="40"/>
            </w:pPr>
            <w:r>
              <w:rPr>
                <w:sz w:val="18"/>
              </w:rPr>
            </w:r>
            <w:r>
              <w:rPr>
                <w:sz w:val="18"/>
              </w:rPr>
              <w:t>[At least two]</w:t>
            </w:r>
          </w:p>
        </w:tc>
      </w:tr>
      <w:tr>
        <w:tc>
          <w:tcPr>
            <w:tcW w:type="dxa" w:w="4706"/>
          </w:tcPr>
          <w:p>
            <w:pPr>
              <w:spacing w:after="40"/>
            </w:pPr>
            <w:r>
              <w:rPr>
                <w:sz w:val="18"/>
              </w:rPr>
            </w:r>
            <w:r>
              <w:rPr>
                <w:b/>
                <w:sz w:val="18"/>
              </w:rPr>
              <w:t>Rejected, and why</w:t>
            </w:r>
          </w:p>
        </w:tc>
        <w:tc>
          <w:tcPr>
            <w:tcW w:type="dxa" w:w="4706"/>
          </w:tcPr>
          <w:p>
            <w:pPr>
              <w:spacing w:after="40"/>
            </w:pPr>
            <w:r>
              <w:rPr>
                <w:sz w:val="18"/>
              </w:rPr>
            </w:r>
            <w:r>
              <w:rPr>
                <w:sz w:val="18"/>
              </w:rPr>
              <w:t>[The most valuable row. It stops the debate recurring and tells a future reader this was chosen rather than defaulted into]</w:t>
            </w:r>
          </w:p>
        </w:tc>
      </w:tr>
      <w:tr>
        <w:tc>
          <w:tcPr>
            <w:tcW w:type="dxa" w:w="4706"/>
          </w:tcPr>
          <w:p>
            <w:pPr>
              <w:spacing w:after="40"/>
            </w:pPr>
            <w:r>
              <w:rPr>
                <w:sz w:val="18"/>
              </w:rPr>
            </w:r>
            <w:r>
              <w:rPr>
                <w:sz w:val="18"/>
              </w:rPr>
              <w:t>Chosen, and why</w:t>
            </w:r>
          </w:p>
        </w:tc>
        <w:tc>
          <w:tcPr>
            <w:tcW w:type="dxa" w:w="4706"/>
          </w:tcPr>
          <w:p>
            <w:pPr>
              <w:spacing w:after="40"/>
            </w:pPr>
            <w:r>
              <w:rPr>
                <w:sz w:val="18"/>
              </w:rPr>
            </w:r>
          </w:p>
        </w:tc>
      </w:tr>
      <w:tr>
        <w:tc>
          <w:tcPr>
            <w:tcW w:type="dxa" w:w="4706"/>
          </w:tcPr>
          <w:p>
            <w:pPr>
              <w:spacing w:after="40"/>
            </w:pPr>
            <w:r>
              <w:rPr>
                <w:sz w:val="18"/>
              </w:rPr>
            </w:r>
            <w:r>
              <w:rPr>
                <w:sz w:val="18"/>
              </w:rPr>
              <w:t>Consequences accepted</w:t>
            </w:r>
          </w:p>
        </w:tc>
        <w:tc>
          <w:tcPr>
            <w:tcW w:type="dxa" w:w="4706"/>
          </w:tcPr>
          <w:p>
            <w:pPr>
              <w:spacing w:after="40"/>
            </w:pPr>
            <w:r>
              <w:rPr>
                <w:sz w:val="18"/>
              </w:rPr>
            </w:r>
            <w:r>
              <w:rPr>
                <w:sz w:val="18"/>
              </w:rPr>
              <w:t>[What this makes harder. Every choice makes something harder]</w:t>
            </w:r>
          </w:p>
        </w:tc>
      </w:tr>
      <w:tr>
        <w:tc>
          <w:tcPr>
            <w:tcW w:type="dxa" w:w="4706"/>
          </w:tcPr>
          <w:p>
            <w:pPr>
              <w:spacing w:after="40"/>
            </w:pPr>
            <w:r>
              <w:rPr>
                <w:sz w:val="18"/>
              </w:rPr>
            </w:r>
            <w:r>
              <w:rPr>
                <w:sz w:val="18"/>
              </w:rPr>
              <w:t>Revisit when</w:t>
            </w:r>
          </w:p>
        </w:tc>
        <w:tc>
          <w:tcPr>
            <w:tcW w:type="dxa" w:w="4706"/>
          </w:tcPr>
          <w:p>
            <w:pPr>
              <w:spacing w:after="40"/>
            </w:pPr>
            <w:r>
              <w:rPr>
                <w:sz w:val="18"/>
              </w:rPr>
            </w:r>
            <w:r>
              <w:rPr>
                <w:sz w:val="18"/>
              </w:rPr>
              <w:t>[A condition, not a date]</w:t>
            </w:r>
          </w:p>
        </w:tc>
      </w:tr>
      <w:tr>
        <w:tc>
          <w:tcPr>
            <w:tcW w:type="dxa" w:w="4706"/>
          </w:tcPr>
          <w:p>
            <w:pPr>
              <w:spacing w:after="40"/>
            </w:pPr>
            <w:r>
              <w:rPr>
                <w:sz w:val="18"/>
              </w:rPr>
            </w:r>
            <w:r>
              <w:rPr>
                <w:sz w:val="18"/>
              </w:rPr>
              <w:t>Owner and review date</w:t>
            </w:r>
          </w:p>
        </w:tc>
        <w:tc>
          <w:tcPr>
            <w:tcW w:type="dxa" w:w="4706"/>
          </w:tcPr>
          <w:p>
            <w:pPr>
              <w:spacing w:after="40"/>
            </w:pPr>
            <w:r>
              <w:rPr>
                <w:sz w:val="18"/>
              </w:rPr>
            </w:r>
          </w:p>
        </w:tc>
      </w:tr>
    </w:tbl>
    <w:p>
      <w:pPr>
        <w:spacing w:after="40"/>
      </w:pPr>
    </w:p>
    <w:p>
      <w:pPr>
        <w:pStyle w:val="Heading1"/>
      </w:pPr>
      <w:r>
        <w:t>2. Lesson learned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What happened</w:t>
            </w:r>
          </w:p>
        </w:tc>
        <w:tc>
          <w:tcPr>
            <w:tcW w:type="dxa" w:w="4706"/>
          </w:tcPr>
          <w:p>
            <w:pPr>
              <w:spacing w:after="40"/>
            </w:pPr>
            <w:r>
              <w:rPr>
                <w:sz w:val="18"/>
              </w:rPr>
            </w:r>
            <w:r>
              <w:rPr>
                <w:sz w:val="18"/>
              </w:rPr>
              <w:t>[Plainly]</w:t>
            </w:r>
          </w:p>
        </w:tc>
      </w:tr>
      <w:tr>
        <w:tc>
          <w:tcPr>
            <w:tcW w:type="dxa" w:w="4706"/>
          </w:tcPr>
          <w:p>
            <w:pPr>
              <w:spacing w:after="40"/>
            </w:pPr>
            <w:r>
              <w:rPr>
                <w:sz w:val="18"/>
              </w:rPr>
            </w:r>
            <w:r>
              <w:rPr>
                <w:sz w:val="18"/>
              </w:rPr>
              <w:t>What we expected</w:t>
            </w:r>
          </w:p>
        </w:tc>
        <w:tc>
          <w:tcPr>
            <w:tcW w:type="dxa" w:w="4706"/>
          </w:tcPr>
          <w:p>
            <w:pPr>
              <w:spacing w:after="40"/>
            </w:pPr>
            <w:r>
              <w:rPr>
                <w:sz w:val="18"/>
              </w:rPr>
            </w:r>
            <w:r>
              <w:rPr>
                <w:sz w:val="18"/>
              </w:rPr>
              <w:t>[The gap between these two is the lesson]</w:t>
            </w:r>
          </w:p>
        </w:tc>
      </w:tr>
      <w:tr>
        <w:tc>
          <w:tcPr>
            <w:tcW w:type="dxa" w:w="4706"/>
          </w:tcPr>
          <w:p>
            <w:pPr>
              <w:spacing w:after="40"/>
            </w:pPr>
            <w:r>
              <w:rPr>
                <w:sz w:val="18"/>
              </w:rPr>
            </w:r>
            <w:r>
              <w:rPr>
                <w:sz w:val="18"/>
              </w:rPr>
              <w:t>Why the difference</w:t>
            </w:r>
          </w:p>
        </w:tc>
        <w:tc>
          <w:tcPr>
            <w:tcW w:type="dxa" w:w="4706"/>
          </w:tcPr>
          <w:p>
            <w:pPr>
              <w:spacing w:after="40"/>
            </w:pPr>
            <w:r>
              <w:rPr>
                <w:sz w:val="18"/>
              </w:rPr>
            </w:r>
            <w:r>
              <w:rPr>
                <w:sz w:val="18"/>
              </w:rPr>
              <w:t>[Cause, not blame]</w:t>
            </w:r>
          </w:p>
        </w:tc>
      </w:tr>
      <w:tr>
        <w:tc>
          <w:tcPr>
            <w:tcW w:type="dxa" w:w="4706"/>
          </w:tcPr>
          <w:p>
            <w:pPr>
              <w:spacing w:after="40"/>
            </w:pPr>
            <w:r>
              <w:rPr>
                <w:sz w:val="18"/>
              </w:rPr>
            </w:r>
            <w:r>
              <w:rPr>
                <w:b/>
                <w:sz w:val="18"/>
              </w:rPr>
              <w:t>What we will do differently</w:t>
            </w:r>
          </w:p>
        </w:tc>
        <w:tc>
          <w:tcPr>
            <w:tcW w:type="dxa" w:w="4706"/>
          </w:tcPr>
          <w:p>
            <w:pPr>
              <w:spacing w:after="40"/>
            </w:pPr>
            <w:r>
              <w:rPr>
                <w:sz w:val="18"/>
              </w:rPr>
            </w:r>
            <w:r>
              <w:rPr>
                <w:sz w:val="18"/>
              </w:rPr>
              <w:t>[Specific enough to be checkable. "Be more careful" is not a lesson]</w:t>
            </w:r>
          </w:p>
        </w:tc>
      </w:tr>
      <w:tr>
        <w:tc>
          <w:tcPr>
            <w:tcW w:type="dxa" w:w="4706"/>
          </w:tcPr>
          <w:p>
            <w:pPr>
              <w:spacing w:after="40"/>
            </w:pPr>
            <w:r>
              <w:rPr>
                <w:sz w:val="18"/>
              </w:rPr>
            </w:r>
            <w:r>
              <w:rPr>
                <w:sz w:val="18"/>
              </w:rPr>
              <w:t>Who needs to know</w:t>
            </w:r>
          </w:p>
        </w:tc>
        <w:tc>
          <w:tcPr>
            <w:tcW w:type="dxa" w:w="4706"/>
          </w:tcPr>
          <w:p>
            <w:pPr>
              <w:spacing w:after="40"/>
            </w:pPr>
            <w:r>
              <w:rPr>
                <w:sz w:val="18"/>
              </w:rPr>
            </w:r>
          </w:p>
        </w:tc>
      </w:tr>
      <w:tr>
        <w:tc>
          <w:tcPr>
            <w:tcW w:type="dxa" w:w="4706"/>
          </w:tcPr>
          <w:p>
            <w:pPr>
              <w:spacing w:after="40"/>
            </w:pPr>
            <w:r>
              <w:rPr>
                <w:sz w:val="18"/>
              </w:rPr>
            </w:r>
            <w:r>
              <w:rPr>
                <w:sz w:val="18"/>
              </w:rPr>
              <w:t>Where this is now written down</w:t>
            </w:r>
          </w:p>
        </w:tc>
        <w:tc>
          <w:tcPr>
            <w:tcW w:type="dxa" w:w="4706"/>
          </w:tcPr>
          <w:p>
            <w:pPr>
              <w:spacing w:after="40"/>
            </w:pPr>
            <w:r>
              <w:rPr>
                <w:sz w:val="18"/>
              </w:rPr>
            </w:r>
            <w:r>
              <w:rPr>
                <w:sz w:val="18"/>
              </w:rPr>
              <w:t>[If nowhere, the lesson is not learned, it is remembered, and only by whoever was there]</w:t>
            </w:r>
          </w:p>
        </w:tc>
      </w:tr>
      <w:tr>
        <w:tc>
          <w:tcPr>
            <w:tcW w:type="dxa" w:w="4706"/>
          </w:tcPr>
          <w:p>
            <w:pPr>
              <w:spacing w:after="40"/>
            </w:pPr>
            <w:r>
              <w:rPr>
                <w:sz w:val="18"/>
              </w:rPr>
            </w:r>
            <w:r>
              <w:rPr>
                <w:sz w:val="18"/>
              </w:rPr>
              <w:t>Owner and review date</w:t>
            </w:r>
          </w:p>
        </w:tc>
        <w:tc>
          <w:tcPr>
            <w:tcW w:type="dxa" w:w="4706"/>
          </w:tcPr>
          <w:p>
            <w:pPr>
              <w:spacing w:after="40"/>
            </w:pPr>
            <w:r>
              <w:rPr>
                <w:sz w:val="18"/>
              </w:rPr>
            </w:r>
          </w:p>
        </w:tc>
      </w:tr>
    </w:tbl>
    <w:p>
      <w:pPr>
        <w:spacing w:after="40"/>
      </w:pPr>
    </w:p>
    <w:p>
      <w:pPr>
        <w:pStyle w:val="Heading1"/>
      </w:pPr>
      <w:r>
        <w:t>3. Quarterly retirement pass</w:t>
      </w:r>
    </w:p>
    <w:p>
      <w:r>
        <w:t>The most important and least popular procedure here.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Document</w:t>
            </w:r>
          </w:p>
        </w:tc>
        <w:tc>
          <w:tcPr>
            <w:tcW w:type="dxa" w:w="2353"/>
            <w:shd w:val="clear" w:color="auto" w:fill="F1EAFE"/>
          </w:tcPr>
          <w:p>
            <w:pPr>
              <w:spacing w:after="40"/>
            </w:pPr>
            <w:r>
              <w:rPr>
                <w:b/>
                <w:sz w:val="18"/>
              </w:rPr>
            </w:r>
            <w:r>
              <w:rPr>
                <w:b/>
                <w:sz w:val="18"/>
              </w:rPr>
              <w:t>Last reviewed</w:t>
            </w:r>
          </w:p>
        </w:tc>
        <w:tc>
          <w:tcPr>
            <w:tcW w:type="dxa" w:w="2353"/>
            <w:shd w:val="clear" w:color="auto" w:fill="F1EAFE"/>
          </w:tcPr>
          <w:p>
            <w:pPr>
              <w:spacing w:after="40"/>
            </w:pPr>
            <w:r>
              <w:rPr>
                <w:b/>
                <w:sz w:val="18"/>
              </w:rPr>
            </w:r>
            <w:r>
              <w:rPr>
                <w:b/>
                <w:sz w:val="18"/>
              </w:rPr>
              <w:t>Still true?</w:t>
            </w:r>
          </w:p>
        </w:tc>
        <w:tc>
          <w:tcPr>
            <w:tcW w:type="dxa" w:w="2353"/>
            <w:shd w:val="clear" w:color="auto" w:fill="F1EAFE"/>
          </w:tcPr>
          <w:p>
            <w:pPr>
              <w:spacing w:after="40"/>
            </w:pPr>
            <w:r>
              <w:rPr>
                <w:b/>
                <w:sz w:val="18"/>
              </w:rPr>
            </w:r>
            <w:r>
              <w:rPr>
                <w:b/>
                <w:sz w:val="18"/>
              </w:rPr>
              <w:t>Verdict</w:t>
            </w:r>
          </w:p>
        </w:tc>
      </w:tr>
      <w:tr>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 xml:space="preserve">[Confirm / Update / </w:t>
            </w:r>
            <w:r>
              <w:rPr>
                <w:b/>
                <w:sz w:val="18"/>
              </w:rPr>
              <w:t>Retire</w:t>
            </w:r>
            <w:r>
              <w:rPr>
                <w:sz w:val="18"/>
              </w:rPr>
              <w:t xml:space="preserve"> / Merge]</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Summary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Documents reviewed</w:t>
            </w:r>
          </w:p>
        </w:tc>
        <w:tc>
          <w:tcPr>
            <w:tcW w:type="dxa" w:w="4706"/>
          </w:tcPr>
          <w:p>
            <w:pPr>
              <w:spacing w:after="40"/>
            </w:pPr>
            <w:r>
              <w:rPr>
                <w:sz w:val="18"/>
              </w:rPr>
            </w:r>
          </w:p>
        </w:tc>
      </w:tr>
      <w:tr>
        <w:tc>
          <w:tcPr>
            <w:tcW w:type="dxa" w:w="4706"/>
          </w:tcPr>
          <w:p>
            <w:pPr>
              <w:spacing w:after="40"/>
            </w:pPr>
            <w:r>
              <w:rPr>
                <w:sz w:val="18"/>
              </w:rPr>
            </w:r>
            <w:r>
              <w:rPr>
                <w:b/>
                <w:sz w:val="18"/>
              </w:rPr>
              <w:t>Retired</w:t>
            </w:r>
          </w:p>
        </w:tc>
        <w:tc>
          <w:tcPr>
            <w:tcW w:type="dxa" w:w="4706"/>
          </w:tcPr>
          <w:p>
            <w:pPr>
              <w:spacing w:after="40"/>
            </w:pPr>
            <w:r>
              <w:rPr>
                <w:sz w:val="18"/>
              </w:rPr>
            </w:r>
            <w:r>
              <w:rPr>
                <w:sz w:val="18"/>
              </w:rPr>
              <w:t>[</w:t>
            </w:r>
            <w:r>
              <w:rPr>
                <w:b/>
                <w:sz w:val="18"/>
              </w:rPr>
              <w:t>A zero here means the pass did not happen.</w:t>
            </w:r>
            <w:r>
              <w:rPr>
                <w:sz w:val="18"/>
              </w:rPr>
              <w:t xml:space="preserve"> The base is now three months staler]</w:t>
            </w:r>
          </w:p>
        </w:tc>
      </w:tr>
      <w:tr>
        <w:tc>
          <w:tcPr>
            <w:tcW w:type="dxa" w:w="4706"/>
          </w:tcPr>
          <w:p>
            <w:pPr>
              <w:spacing w:after="40"/>
            </w:pPr>
            <w:r>
              <w:rPr>
                <w:sz w:val="18"/>
              </w:rPr>
            </w:r>
            <w:r>
              <w:rPr>
                <w:sz w:val="18"/>
              </w:rPr>
              <w:t>Merged, resolving a duplicate authority</w:t>
            </w:r>
          </w:p>
        </w:tc>
        <w:tc>
          <w:tcPr>
            <w:tcW w:type="dxa" w:w="4706"/>
          </w:tcPr>
          <w:p>
            <w:pPr>
              <w:spacing w:after="40"/>
            </w:pPr>
            <w:r>
              <w:rPr>
                <w:sz w:val="18"/>
              </w:rPr>
            </w:r>
          </w:p>
        </w:tc>
      </w:tr>
      <w:tr>
        <w:tc>
          <w:tcPr>
            <w:tcW w:type="dxa" w:w="4706"/>
          </w:tcPr>
          <w:p>
            <w:pPr>
              <w:spacing w:after="40"/>
            </w:pPr>
            <w:r>
              <w:rPr>
                <w:sz w:val="18"/>
              </w:rPr>
            </w:r>
            <w:r>
              <w:rPr>
                <w:sz w:val="18"/>
              </w:rPr>
              <w:t>Referencing systems that no longer exist</w:t>
            </w:r>
          </w:p>
        </w:tc>
        <w:tc>
          <w:tcPr>
            <w:tcW w:type="dxa" w:w="4706"/>
          </w:tcPr>
          <w:p>
            <w:pPr>
              <w:spacing w:after="40"/>
            </w:pPr>
            <w:r>
              <w:rPr>
                <w:sz w:val="18"/>
              </w:rPr>
            </w:r>
            <w:r>
              <w:rPr>
                <w:sz w:val="18"/>
              </w:rPr>
              <w:t>[Retire these first. They are the most confidently wrong]</w:t>
            </w:r>
          </w:p>
        </w:tc>
      </w:tr>
      <w:tr>
        <w:tc>
          <w:tcPr>
            <w:tcW w:type="dxa" w:w="4706"/>
          </w:tcPr>
          <w:p>
            <w:pPr>
              <w:spacing w:after="40"/>
            </w:pPr>
            <w:r>
              <w:rPr>
                <w:sz w:val="18"/>
              </w:rPr>
            </w:r>
            <w:r>
              <w:rPr>
                <w:sz w:val="18"/>
              </w:rPr>
              <w:t>Median age at last review, after this pass</w:t>
            </w:r>
          </w:p>
        </w:tc>
        <w:tc>
          <w:tcPr>
            <w:tcW w:type="dxa" w:w="4706"/>
          </w:tcPr>
          <w:p>
            <w:pPr>
              <w:spacing w:after="40"/>
            </w:pPr>
            <w:r>
              <w:rPr>
                <w:sz w:val="18"/>
              </w:rPr>
            </w:r>
          </w:p>
        </w:tc>
      </w:tr>
    </w:tbl>
    <w:p>
      <w:pPr>
        <w:spacing w:after="40"/>
      </w:pPr>
    </w:p>
    <w:p>
      <w:pPr>
        <w:pStyle w:val="Heading1"/>
      </w:pPr>
      <w:r>
        <w:t>4. Departure capture</w:t>
      </w:r>
    </w:p>
    <w:p>
      <w:r>
        <w:t xml:space="preserve">Run in the </w:t>
      </w:r>
      <w:r>
        <w:rPr>
          <w:b/>
        </w:rPr>
        <w:t>first</w:t>
      </w:r>
      <w:r>
        <w:t xml:space="preserve"> week of a notice period, never the last.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Person and role</w:t>
            </w:r>
          </w:p>
        </w:tc>
        <w:tc>
          <w:tcPr>
            <w:tcW w:type="dxa" w:w="4706"/>
          </w:tcPr>
          <w:p>
            <w:pPr>
              <w:spacing w:after="40"/>
            </w:pPr>
            <w:r>
              <w:rPr>
                <w:sz w:val="18"/>
              </w:rPr>
            </w:r>
          </w:p>
        </w:tc>
      </w:tr>
      <w:tr>
        <w:tc>
          <w:tcPr>
            <w:tcW w:type="dxa" w:w="4706"/>
          </w:tcPr>
          <w:p>
            <w:pPr>
              <w:spacing w:after="40"/>
            </w:pPr>
            <w:r>
              <w:rPr>
                <w:sz w:val="18"/>
              </w:rPr>
            </w:r>
            <w:r>
              <w:rPr>
                <w:b/>
                <w:sz w:val="18"/>
              </w:rPr>
              <w:t>Systems only they understand</w:t>
            </w:r>
          </w:p>
        </w:tc>
        <w:tc>
          <w:tcPr>
            <w:tcW w:type="dxa" w:w="4706"/>
          </w:tcPr>
          <w:p>
            <w:pPr>
              <w:spacing w:after="40"/>
            </w:pPr>
            <w:r>
              <w:rPr>
                <w:sz w:val="18"/>
              </w:rPr>
            </w:r>
            <w:r>
              <w:rPr>
                <w:sz w:val="18"/>
              </w:rPr>
              <w:t>[The single-point-of-failure list, and the reason to start early]</w:t>
            </w:r>
          </w:p>
        </w:tc>
      </w:tr>
      <w:tr>
        <w:tc>
          <w:tcPr>
            <w:tcW w:type="dxa" w:w="4706"/>
          </w:tcPr>
          <w:p>
            <w:pPr>
              <w:spacing w:after="40"/>
            </w:pPr>
            <w:r>
              <w:rPr>
                <w:sz w:val="18"/>
              </w:rPr>
            </w:r>
            <w:r>
              <w:rPr>
                <w:sz w:val="18"/>
              </w:rPr>
              <w:t>Clients they hold the context for</w:t>
            </w:r>
          </w:p>
        </w:tc>
        <w:tc>
          <w:tcPr>
            <w:tcW w:type="dxa" w:w="4706"/>
          </w:tcPr>
          <w:p>
            <w:pPr>
              <w:spacing w:after="40"/>
            </w:pPr>
            <w:r>
              <w:rPr>
                <w:sz w:val="18"/>
              </w:rPr>
            </w:r>
            <w:r>
              <w:rPr>
                <w:sz w:val="18"/>
              </w:rPr>
              <w:t>[History, constraints, personalities, what was promised]</w:t>
            </w:r>
          </w:p>
        </w:tc>
      </w:tr>
      <w:tr>
        <w:tc>
          <w:tcPr>
            <w:tcW w:type="dxa" w:w="4706"/>
          </w:tcPr>
          <w:p>
            <w:pPr>
              <w:spacing w:after="40"/>
            </w:pPr>
            <w:r>
              <w:rPr>
                <w:sz w:val="18"/>
              </w:rPr>
            </w:r>
            <w:r>
              <w:rPr>
                <w:b/>
                <w:sz w:val="18"/>
              </w:rPr>
              <w:t>Why things are the way they are</w:t>
            </w:r>
          </w:p>
        </w:tc>
        <w:tc>
          <w:tcPr>
            <w:tcW w:type="dxa" w:w="4706"/>
          </w:tcPr>
          <w:p>
            <w:pPr>
              <w:spacing w:after="40"/>
            </w:pPr>
            <w:r>
              <w:rPr>
                <w:sz w:val="18"/>
              </w:rPr>
            </w:r>
            <w:r>
              <w:rPr>
                <w:sz w:val="18"/>
              </w:rPr>
              <w:t>[The reasoning that lives in no document. The most valuable row on this page]</w:t>
            </w:r>
          </w:p>
        </w:tc>
      </w:tr>
      <w:tr>
        <w:tc>
          <w:tcPr>
            <w:tcW w:type="dxa" w:w="4706"/>
          </w:tcPr>
          <w:p>
            <w:pPr>
              <w:spacing w:after="40"/>
            </w:pPr>
            <w:r>
              <w:rPr>
                <w:sz w:val="18"/>
              </w:rPr>
            </w:r>
            <w:r>
              <w:rPr>
                <w:sz w:val="18"/>
              </w:rPr>
              <w:t>Workarounds and undocumented behaviour</w:t>
            </w:r>
          </w:p>
        </w:tc>
        <w:tc>
          <w:tcPr>
            <w:tcW w:type="dxa" w:w="4706"/>
          </w:tcPr>
          <w:p>
            <w:pPr>
              <w:spacing w:after="40"/>
            </w:pPr>
            <w:r>
              <w:rPr>
                <w:sz w:val="18"/>
              </w:rPr>
            </w:r>
            <w:r>
              <w:rPr>
                <w:sz w:val="18"/>
              </w:rPr>
              <w:t>[Every system has some. They are never written down]</w:t>
            </w:r>
          </w:p>
        </w:tc>
      </w:tr>
      <w:tr>
        <w:tc>
          <w:tcPr>
            <w:tcW w:type="dxa" w:w="4706"/>
          </w:tcPr>
          <w:p>
            <w:pPr>
              <w:spacing w:after="40"/>
            </w:pPr>
            <w:r>
              <w:rPr>
                <w:sz w:val="18"/>
              </w:rPr>
            </w:r>
            <w:r>
              <w:rPr>
                <w:sz w:val="18"/>
              </w:rPr>
              <w:t>In-flight commitments</w:t>
            </w:r>
          </w:p>
        </w:tc>
        <w:tc>
          <w:tcPr>
            <w:tcW w:type="dxa" w:w="4706"/>
          </w:tcPr>
          <w:p>
            <w:pPr>
              <w:spacing w:after="40"/>
            </w:pPr>
            <w:r>
              <w:rPr>
                <w:sz w:val="18"/>
              </w:rPr>
            </w:r>
            <w:r>
              <w:rPr>
                <w:sz w:val="18"/>
              </w:rPr>
              <w:t>[Including anything promised verbally]</w:t>
            </w:r>
          </w:p>
        </w:tc>
      </w:tr>
      <w:tr>
        <w:tc>
          <w:tcPr>
            <w:tcW w:type="dxa" w:w="4706"/>
          </w:tcPr>
          <w:p>
            <w:pPr>
              <w:spacing w:after="40"/>
            </w:pPr>
            <w:r>
              <w:rPr>
                <w:sz w:val="18"/>
              </w:rPr>
            </w:r>
            <w:r>
              <w:rPr>
                <w:sz w:val="18"/>
              </w:rPr>
              <w:t>Who could take each item</w:t>
            </w:r>
          </w:p>
        </w:tc>
        <w:tc>
          <w:tcPr>
            <w:tcW w:type="dxa" w:w="4706"/>
          </w:tcPr>
          <w:p>
            <w:pPr>
              <w:spacing w:after="40"/>
            </w:pPr>
            <w:r>
              <w:rPr>
                <w:sz w:val="18"/>
              </w:rPr>
            </w:r>
          </w:p>
        </w:tc>
      </w:tr>
      <w:tr>
        <w:tc>
          <w:tcPr>
            <w:tcW w:type="dxa" w:w="4706"/>
          </w:tcPr>
          <w:p>
            <w:pPr>
              <w:spacing w:after="40"/>
            </w:pPr>
            <w:r>
              <w:rPr>
                <w:sz w:val="18"/>
              </w:rPr>
            </w:r>
            <w:r>
              <w:rPr>
                <w:sz w:val="18"/>
              </w:rPr>
              <w:t>Captured by, and date</w:t>
            </w:r>
          </w:p>
        </w:tc>
        <w:tc>
          <w:tcPr>
            <w:tcW w:type="dxa" w:w="4706"/>
          </w:tcPr>
          <w:p>
            <w:pPr>
              <w:spacing w:after="40"/>
            </w:pPr>
            <w:r>
              <w:rPr>
                <w:sz w:val="18"/>
              </w:rPr>
            </w:r>
          </w:p>
        </w:tc>
      </w:tr>
    </w:tbl>
    <w:p>
      <w:pPr>
        <w:spacing w:after="40"/>
      </w:pPr>
    </w:p>
    <w:p>
      <w:r>
        <w:t>Left to the final week, this becomes a meeting where someone lists file locations, and everything worth keeping walks out of the door.</w:t>
      </w:r>
    </w:p>
    <w:p>
      <w:pPr>
        <w:pStyle w:val="Heading1"/>
      </w:pPr>
      <w:r>
        <w:t>Using these together</w:t>
      </w:r>
    </w:p>
    <w:p>
      <w:r>
        <w:t xml:space="preserve">The </w:t>
      </w:r>
      <w:r>
        <w:rPr>
          <w:color w:val="7C3AED"/>
          <w:u w:val="single"/>
        </w:rPr>
        <w:t>charter</w:t>
      </w:r>
      <w:r>
        <w:rPr>
          <w:sz w:val="17"/>
        </w:rPr>
        <w:t xml:space="preserve"> (bvlogic.com/ai-company/knowledge-management/)</w:t>
      </w:r>
      <w:r>
        <w:t xml:space="preserve"> sets out what this function owns, the </w:t>
      </w:r>
      <w:r>
        <w:rPr>
          <w:color w:val="7C3AED"/>
          <w:u w:val="single"/>
        </w:rPr>
        <w:t>SOPs</w:t>
      </w:r>
      <w:r>
        <w:rPr>
          <w:sz w:val="17"/>
        </w:rPr>
        <w:t xml:space="preserve"> (bvlogic.com/ai-company/knowledge-management/sop/)</w:t>
      </w:r>
      <w:r>
        <w:t xml:space="preserve"> say when each is produced, the </w:t>
      </w:r>
      <w:r>
        <w:rPr>
          <w:color w:val="7C3AED"/>
          <w:u w:val="single"/>
        </w:rPr>
        <w:t>KPIs</w:t>
      </w:r>
      <w:r>
        <w:rPr>
          <w:sz w:val="17"/>
        </w:rPr>
        <w:t xml:space="preserve"> (bvlogic.com/ai-company/knowledge-management/kpi/)</w:t>
      </w:r>
      <w:r>
        <w:t xml:space="preserve"> define what the retirement pass feeds, and the </w:t>
      </w:r>
      <w:r>
        <w:rPr>
          <w:color w:val="7C3AED"/>
          <w:u w:val="single"/>
        </w:rPr>
        <w:t>workflows</w:t>
      </w:r>
      <w:r>
        <w:rPr>
          <w:sz w:val="17"/>
        </w:rPr>
        <w:t xml:space="preserve"> (bvlogic.com/ai-company/knowledge-management/workflow/)</w:t>
      </w:r>
      <w:r>
        <w:t xml:space="preserve"> name who receives each output. A decision record with a blank rejected-options row will not stop the argument it was written to end.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Knowledge Management: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Management: the working templates</dc:title>
  <dc:subject/>
  <dc:creator>BvLogic</dc:creator>
  <cp:keywords>BvLogic, Template, enterprise AI, Knowledge Management: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