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Knowledge Management: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BVL-95D973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Capture at the point of work</w:t>
      </w:r>
    </w:p>
    <w:p>
      <w:r>
        <w:rPr>
          <w:b/>
        </w:rPr>
        <w:t>Run:</w:t>
      </w:r>
      <w:r>
        <w:t xml:space="preserve"> within 24 hours of a decision, incident or lesson.</w:t>
      </w:r>
    </w:p>
    <w:p>
      <w:r>
        <w:t>The agent drafts from the meeting, thread or postmortem; the owner corrects and confirms.</w:t>
      </w:r>
    </w:p>
    <w:p>
      <w:r>
        <w:rPr>
          <w:b/>
        </w:rPr>
        <w:t>Twenty-four hours, because reasoning decays faster than facts.</w:t>
      </w:r>
      <w:r>
        <w:t xml:space="preserve"> A retrospective written a month later records the story people have settled on rather than the reasoning that was actually used, and the reasoning is the valuable part.</w:t>
      </w:r>
    </w:p>
    <w:p>
      <w:pPr>
        <w:pStyle w:val="Heading1"/>
      </w:pPr>
      <w:r>
        <w:t>SOP 2: The one-authority rule</w:t>
      </w:r>
    </w:p>
    <w:p>
      <w:r>
        <w:rPr>
          <w:b/>
        </w:rPr>
        <w:t>Run:</w:t>
      </w:r>
      <w:r>
        <w:t xml:space="preserve"> on every new document.</w:t>
      </w:r>
    </w:p>
    <w:p>
      <w:r>
        <w:t xml:space="preserve">A new document on an existing topic either </w:t>
      </w:r>
      <w:r>
        <w:rPr>
          <w:b/>
        </w:rPr>
        <w:t>replaces</w:t>
      </w:r>
      <w:r>
        <w:t xml:space="preserve"> the current one or does not ship. There is no third option, and the third option is what every knowledge base actually does.</w:t>
      </w:r>
    </w:p>
    <w:p>
      <w:r>
        <w:t>When two documents conflict, a person decides which is authoritative. The other is marked superseded with a pointer forward, so an old link teaches instead of misleading.</w:t>
      </w:r>
    </w:p>
    <w:p>
      <w:pPr>
        <w:pStyle w:val="Heading1"/>
      </w:pPr>
      <w:r>
        <w:t>SOP 3: Review dates</w:t>
      </w:r>
    </w:p>
    <w:p>
      <w:r>
        <w:rPr>
          <w:b/>
        </w:rPr>
        <w:t>Run:</w:t>
      </w:r>
      <w:r>
        <w:t xml:space="preserve"> on everything.</w:t>
      </w:r>
    </w:p>
    <w:p>
      <w:r>
        <w:t xml:space="preserve">Every document carries an owner and a review date. </w:t>
      </w:r>
      <w:r>
        <w:rPr>
          <w:b/>
        </w:rPr>
        <w:t>A document with no review date is treated as expired</w:t>
      </w:r>
      <w:r>
        <w:t>, which sounds harsh and is the only rule that works.</w:t>
      </w:r>
    </w:p>
    <w:p>
      <w:r>
        <w:t>Review means re-reading. Re-dating without reading is the most common way a knowledge base becomes confidently wrong.</w:t>
      </w:r>
    </w:p>
    <w:p>
      <w:pPr>
        <w:pStyle w:val="Heading1"/>
      </w:pPr>
      <w:r>
        <w:t>SOP 4: The quarterly retirement pass</w:t>
      </w:r>
    </w:p>
    <w:p>
      <w:r>
        <w:rPr>
          <w:b/>
        </w:rPr>
        <w:t>Run:</w:t>
      </w:r>
      <w:r>
        <w:t xml:space="preserve"> quarterly. The most important procedure here and the least popular.</w:t>
      </w:r>
    </w:p>
    <w:p>
      <w:pPr>
        <w:pStyle w:val="ListNumber"/>
      </w:pPr>
      <w:r>
        <w:t xml:space="preserve">Everything past its review date: confirm, update, or </w:t>
      </w:r>
      <w:r>
        <w:rPr>
          <w:b/>
        </w:rPr>
        <w:t>retire</w:t>
      </w:r>
      <w:r>
        <w:t>.</w:t>
      </w:r>
    </w:p>
    <w:p>
      <w:pPr>
        <w:pStyle w:val="ListNumber"/>
      </w:pPr>
      <w:r>
        <w:t>Everything referencing a system that no longer exists: retire.</w:t>
      </w:r>
    </w:p>
    <w:p>
      <w:pPr>
        <w:pStyle w:val="ListNumber"/>
      </w:pPr>
      <w:r>
        <w:t>Everything nobody has opened in a year: probably retire, and ask why it was written.</w:t>
      </w:r>
    </w:p>
    <w:p>
      <w:pPr>
        <w:pStyle w:val="ListNumber"/>
      </w:pPr>
      <w:r>
        <w:rPr>
          <w:b/>
        </w:rPr>
        <w:t>Supersede, never delete.</w:t>
      </w:r>
      <w:r>
        <w:t xml:space="preserve"> The old version stays reachable with a pointer forward.</w:t>
      </w:r>
    </w:p>
    <w:p>
      <w:r>
        <w:rPr>
          <w:b/>
        </w:rPr>
        <w:t>Target: a non-zero number of retirements every quarter.</w:t>
      </w:r>
      <w:r>
        <w:t xml:space="preserve"> A pass that removes nothing did not happen, and the base is now three months staler than it was.</w:t>
      </w:r>
    </w:p>
    <w:p>
      <w:pPr>
        <w:pStyle w:val="Heading1"/>
      </w:pPr>
      <w:r>
        <w:t>SOP 5: Agent context review</w:t>
      </w:r>
    </w:p>
    <w:p>
      <w:r>
        <w:rPr>
          <w:b/>
        </w:rPr>
        <w:t>Run:</w:t>
      </w:r>
      <w:r>
        <w:t xml:space="preserve"> quarterly.</w:t>
      </w:r>
    </w:p>
    <w:p>
      <w:r>
        <w:t>What each agent is given to read, and what in that bundle has never influenced an output.</w:t>
      </w:r>
    </w:p>
    <w:p>
      <w:r>
        <w:t>This is the highest-consequence text in the company: it shapes every output every agent produces. It also grows silently, because adding a document to a context feels free and nobody ever removes one.</w:t>
      </w:r>
    </w:p>
    <w:p>
      <w:pPr>
        <w:pStyle w:val="Heading1"/>
      </w:pPr>
      <w:r>
        <w:t>SOP 6: Departure capture</w:t>
      </w:r>
    </w:p>
    <w:p>
      <w:r>
        <w:rPr>
          <w:b/>
        </w:rPr>
        <w:t>Run:</w:t>
      </w:r>
      <w:r>
        <w:t xml:space="preserve"> on every notice period, in the first week rather than the last.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Capture</w:t>
            </w:r>
          </w:p>
        </w:tc>
        <w:tc>
          <w:tcPr>
            <w:tcW w:type="dxa" w:w="4706"/>
            <w:shd w:val="clear" w:color="auto" w:fill="F1EAFE"/>
          </w:tcPr>
          <w:p>
            <w:pPr>
              <w:spacing w:after="40"/>
            </w:pPr>
            <w:r>
              <w:rPr>
                <w:b/>
                <w:sz w:val="18"/>
              </w:rPr>
            </w:r>
            <w:r>
              <w:rPr>
                <w:b/>
                <w:sz w:val="18"/>
              </w:rPr>
              <w:t>Specifically</w:t>
            </w:r>
          </w:p>
        </w:tc>
      </w:tr>
      <w:tr>
        <w:tc>
          <w:tcPr>
            <w:tcW w:type="dxa" w:w="4706"/>
          </w:tcPr>
          <w:p>
            <w:pPr>
              <w:spacing w:after="40"/>
            </w:pPr>
            <w:r>
              <w:rPr>
                <w:sz w:val="18"/>
              </w:rPr>
            </w:r>
            <w:r>
              <w:rPr>
                <w:sz w:val="18"/>
              </w:rPr>
              <w:t>What only they know</w:t>
            </w:r>
          </w:p>
        </w:tc>
        <w:tc>
          <w:tcPr>
            <w:tcW w:type="dxa" w:w="4706"/>
          </w:tcPr>
          <w:p>
            <w:pPr>
              <w:spacing w:after="40"/>
            </w:pPr>
            <w:r>
              <w:rPr>
                <w:sz w:val="18"/>
              </w:rPr>
            </w:r>
            <w:r>
              <w:rPr>
                <w:sz w:val="18"/>
              </w:rPr>
              <w:t>Systems, clients, history, workarounds</w:t>
            </w:r>
          </w:p>
        </w:tc>
      </w:tr>
      <w:tr>
        <w:tc>
          <w:tcPr>
            <w:tcW w:type="dxa" w:w="4706"/>
          </w:tcPr>
          <w:p>
            <w:pPr>
              <w:spacing w:after="40"/>
            </w:pPr>
            <w:r>
              <w:rPr>
                <w:sz w:val="18"/>
              </w:rPr>
            </w:r>
            <w:r>
              <w:rPr>
                <w:sz w:val="18"/>
              </w:rPr>
              <w:t>Why things are the way they are</w:t>
            </w:r>
          </w:p>
        </w:tc>
        <w:tc>
          <w:tcPr>
            <w:tcW w:type="dxa" w:w="4706"/>
          </w:tcPr>
          <w:p>
            <w:pPr>
              <w:spacing w:after="40"/>
            </w:pPr>
            <w:r>
              <w:rPr>
                <w:sz w:val="18"/>
              </w:rPr>
            </w:r>
            <w:r>
              <w:rPr>
                <w:sz w:val="18"/>
              </w:rPr>
              <w:t>The reasoning that is not in any document</w:t>
            </w:r>
          </w:p>
        </w:tc>
      </w:tr>
      <w:tr>
        <w:tc>
          <w:tcPr>
            <w:tcW w:type="dxa" w:w="4706"/>
          </w:tcPr>
          <w:p>
            <w:pPr>
              <w:spacing w:after="40"/>
            </w:pPr>
            <w:r>
              <w:rPr>
                <w:sz w:val="18"/>
              </w:rPr>
            </w:r>
            <w:r>
              <w:rPr>
                <w:sz w:val="18"/>
              </w:rPr>
              <w:t>Who else could do this</w:t>
            </w:r>
          </w:p>
        </w:tc>
        <w:tc>
          <w:tcPr>
            <w:tcW w:type="dxa" w:w="4706"/>
          </w:tcPr>
          <w:p>
            <w:pPr>
              <w:spacing w:after="40"/>
            </w:pPr>
            <w:r>
              <w:rPr>
                <w:sz w:val="18"/>
              </w:rPr>
            </w:r>
            <w:r>
              <w:rPr>
                <w:sz w:val="18"/>
              </w:rPr>
              <w:t>The single-point-of-failure list</w:t>
            </w:r>
          </w:p>
        </w:tc>
      </w:tr>
      <w:tr>
        <w:tc>
          <w:tcPr>
            <w:tcW w:type="dxa" w:w="4706"/>
          </w:tcPr>
          <w:p>
            <w:pPr>
              <w:spacing w:after="40"/>
            </w:pPr>
            <w:r>
              <w:rPr>
                <w:sz w:val="18"/>
              </w:rPr>
            </w:r>
            <w:r>
              <w:rPr>
                <w:sz w:val="18"/>
              </w:rPr>
              <w:t>In-flight commitments</w:t>
            </w:r>
          </w:p>
        </w:tc>
        <w:tc>
          <w:tcPr>
            <w:tcW w:type="dxa" w:w="4706"/>
          </w:tcPr>
          <w:p>
            <w:pPr>
              <w:spacing w:after="40"/>
            </w:pPr>
            <w:r>
              <w:rPr>
                <w:sz w:val="18"/>
              </w:rPr>
            </w:r>
            <w:r>
              <w:rPr>
                <w:sz w:val="18"/>
              </w:rPr>
              <w:t>Including anything promised verbally</w:t>
            </w:r>
          </w:p>
        </w:tc>
      </w:tr>
    </w:tbl>
    <w:p>
      <w:pPr>
        <w:spacing w:after="40"/>
      </w:pPr>
    </w:p>
    <w:p>
      <w:r>
        <w:t xml:space="preserve">Run in the </w:t>
      </w:r>
      <w:r>
        <w:rPr>
          <w:b/>
        </w:rPr>
        <w:t>first</w:t>
      </w:r>
      <w:r>
        <w:t xml:space="preserve"> week of a notice period. Left to the last, it becomes a handover meeting where someone lists file locations, and everything valuable walks out of the door.</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Two current documents on one topic</w:t>
            </w:r>
          </w:p>
        </w:tc>
        <w:tc>
          <w:tcPr>
            <w:tcW w:type="dxa" w:w="4706"/>
          </w:tcPr>
          <w:p>
            <w:pPr>
              <w:spacing w:after="40"/>
            </w:pPr>
            <w:r>
              <w:rPr>
                <w:sz w:val="18"/>
              </w:rPr>
            </w:r>
            <w:r>
              <w:rPr>
                <w:sz w:val="18"/>
              </w:rPr>
              <w:t>Named owner decides within a week</w:t>
            </w:r>
          </w:p>
        </w:tc>
      </w:tr>
      <w:tr>
        <w:tc>
          <w:tcPr>
            <w:tcW w:type="dxa" w:w="4706"/>
          </w:tcPr>
          <w:p>
            <w:pPr>
              <w:spacing w:after="40"/>
            </w:pPr>
            <w:r>
              <w:rPr>
                <w:sz w:val="18"/>
              </w:rPr>
            </w:r>
            <w:r>
              <w:rPr>
                <w:sz w:val="18"/>
              </w:rPr>
              <w:t>A critical system documented by nobody</w:t>
            </w:r>
          </w:p>
        </w:tc>
        <w:tc>
          <w:tcPr>
            <w:tcW w:type="dxa" w:w="4706"/>
          </w:tcPr>
          <w:p>
            <w:pPr>
              <w:spacing w:after="40"/>
            </w:pPr>
            <w:r>
              <w:rPr>
                <w:sz w:val="18"/>
              </w:rPr>
            </w:r>
            <w:r>
              <w:rPr>
                <w:sz w:val="18"/>
              </w:rPr>
              <w:t>CTO and the workforce plan</w:t>
            </w:r>
          </w:p>
        </w:tc>
      </w:tr>
      <w:tr>
        <w:tc>
          <w:tcPr>
            <w:tcW w:type="dxa" w:w="4706"/>
          </w:tcPr>
          <w:p>
            <w:pPr>
              <w:spacing w:after="40"/>
            </w:pPr>
            <w:r>
              <w:rPr>
                <w:sz w:val="18"/>
              </w:rPr>
            </w:r>
            <w:r>
              <w:rPr>
                <w:sz w:val="18"/>
              </w:rPr>
              <w:t>A quarterly retirement pass with zero retirements</w:t>
            </w:r>
          </w:p>
        </w:tc>
        <w:tc>
          <w:tcPr>
            <w:tcW w:type="dxa" w:w="4706"/>
          </w:tcPr>
          <w:p>
            <w:pPr>
              <w:spacing w:after="40"/>
            </w:pPr>
            <w:r>
              <w:rPr>
                <w:sz w:val="18"/>
              </w:rPr>
            </w:r>
            <w:r>
              <w:rPr>
                <w:sz w:val="18"/>
              </w:rPr>
              <w:t>Knowledge lead. The pass did not happen</w:t>
            </w:r>
          </w:p>
        </w:tc>
      </w:tr>
      <w:tr>
        <w:tc>
          <w:tcPr>
            <w:tcW w:type="dxa" w:w="4706"/>
          </w:tcPr>
          <w:p>
            <w:pPr>
              <w:spacing w:after="40"/>
            </w:pPr>
            <w:r>
              <w:rPr>
                <w:sz w:val="18"/>
              </w:rPr>
            </w:r>
            <w:r>
              <w:rPr>
                <w:sz w:val="18"/>
              </w:rPr>
              <w:t>An agent acting on a superseded document</w:t>
            </w:r>
          </w:p>
        </w:tc>
        <w:tc>
          <w:tcPr>
            <w:tcW w:type="dxa" w:w="4706"/>
          </w:tcPr>
          <w:p>
            <w:pPr>
              <w:spacing w:after="40"/>
            </w:pPr>
            <w:r>
              <w:rPr>
                <w:sz w:val="18"/>
              </w:rPr>
            </w:r>
            <w:r>
              <w:rPr>
                <w:sz w:val="18"/>
              </w:rPr>
              <w:t>Treat as an incident. This is the failure mode of the whole function</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Knowledge Management: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standard operating procedures</dc:title>
  <dc:subject/>
  <dc:creator>BvLogic</dc:creator>
  <cp:keywords>BvLogic, Sop, enterprise AI, Knowledge Management: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