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Functional Requirements Document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BVL-91BCFA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Numbered requirements, one behaviour each, written so a tester can prove them. If a requirement</w:t>
      </w:r>
    </w:p>
    <w:p>
      <w:pPr>
        <w:ind w:left="454"/>
        <w:shd w:val="clear" w:color="auto" w:fill="FAFAFB"/>
      </w:pPr>
      <w:r>
        <w:rPr>
          <w:i/>
        </w:rPr>
        <w:t>below cannot be verified in one sentence, it is not finished.</w:t>
      </w:r>
    </w:p>
    <w:p>
      <w:pPr>
        <w:ind w:left="454"/>
        <w:shd w:val="clear" w:color="auto" w:fill="FAFAFB"/>
      </w:pPr>
    </w:p>
    <w:p>
      <w:pPr>
        <w:ind w:left="454"/>
        <w:shd w:val="clear" w:color="auto" w:fill="FAFAFB"/>
      </w:pPr>
      <w:r>
        <w:rPr>
          <w:i/>
        </w:rPr>
        <w:t xml:space="preserve">Pair with the </w:t>
      </w:r>
      <w:r>
        <w:rPr>
          <w:color w:val="7C3AED"/>
          <w:u w:val="single"/>
        </w:rPr>
        <w:t>BRD template</w:t>
      </w:r>
      <w:r>
        <w:rPr>
          <w:sz w:val="17"/>
        </w:rPr>
        <w:t xml:space="preserve"> (bvlogic.com/templates/brd/)</w:t>
      </w:r>
      <w:r>
        <w:t xml:space="preserve"> for business intent.</w:t>
      </w:r>
    </w:p>
    <w:p>
      <w:r>
        <w:rPr>
          <w:b/>
        </w:rPr>
        <w:t>System / change:</w:t>
      </w:r>
      <w:r>
        <w:t xml:space="preserve"> _______________ </w:t>
      </w:r>
      <w:r>
        <w:rPr>
          <w:b/>
        </w:rPr>
        <w:t>Owner:</w:t>
      </w:r>
      <w:r>
        <w:t xml:space="preserve"> _______________  </w:t>
      </w:r>
      <w:r>
        <w:rPr>
          <w:b/>
        </w:rPr>
        <w:t>Author:</w:t>
      </w:r>
      <w:r>
        <w:t xml:space="preserve"> _______________ </w:t>
      </w:r>
      <w:r>
        <w:rPr>
          <w:b/>
        </w:rPr>
        <w:t>Version:</w:t>
      </w:r>
      <w:r>
        <w:t xml:space="preserve"> ____  </w:t>
      </w:r>
      <w:r>
        <w:rPr>
          <w:b/>
        </w:rPr>
        <w:t>Date:</w:t>
      </w:r>
      <w:r>
        <w:t xml:space="preserve"> _______  </w:t>
      </w:r>
      <w:r>
        <w:rPr>
          <w:b/>
        </w:rPr>
        <w:t>Status:</w:t>
      </w:r>
      <w:r>
        <w:t xml:space="preserve"> draft / review / baselined</w:t>
      </w:r>
    </w:p>
    <w:p>
      <w:pPr>
        <w:pStyle w:val="Heading1"/>
      </w:pPr>
      <w:r>
        <w:t>1. Scope</w:t>
      </w:r>
    </w:p>
    <w:p>
      <w:r>
        <w:rPr>
          <w:b/>
        </w:rPr>
        <w:t>In scope:</w:t>
      </w:r>
      <w:r>
        <w:t xml:space="preserve"> _______________</w:t>
      </w:r>
    </w:p>
    <w:p>
      <w:r>
        <w:rPr>
          <w:b/>
        </w:rPr>
        <w:t>Explicitly out of scope:</w:t>
      </w:r>
      <w:r>
        <w:t xml:space="preserve"> _______________</w:t>
      </w:r>
    </w:p>
    <w:p>
      <w:r>
        <w:rPr>
          <w:b/>
        </w:rPr>
        <w:t>Related systems affected:</w:t>
      </w:r>
      <w:r>
        <w:t xml:space="preserve"> _______________</w:t>
      </w:r>
    </w:p>
    <w:p>
      <w:r>
        <w:t>The out-of-scope list settles more disputes than the in-scope list. Write the things people actually expect, not the absurd ones.</w:t>
      </w:r>
    </w:p>
    <w:p>
      <w:pPr>
        <w:pStyle w:val="Heading1"/>
      </w:pPr>
      <w:r>
        <w:t>2. Actors and permissions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Actor</w:t>
            </w:r>
          </w:p>
        </w:tc>
        <w:tc>
          <w:tcPr>
            <w:tcW w:type="dxa" w:w="2353"/>
            <w:shd w:val="clear" w:color="auto" w:fill="F1EAFE"/>
          </w:tcPr>
          <w:p>
            <w:pPr>
              <w:spacing w:after="40"/>
            </w:pPr>
            <w:r>
              <w:rPr>
                <w:b/>
                <w:sz w:val="18"/>
              </w:rPr>
            </w:r>
            <w:r>
              <w:rPr>
                <w:b/>
                <w:sz w:val="18"/>
              </w:rPr>
              <w:t>Description</w:t>
            </w:r>
          </w:p>
        </w:tc>
        <w:tc>
          <w:tcPr>
            <w:tcW w:type="dxa" w:w="2353"/>
            <w:shd w:val="clear" w:color="auto" w:fill="F1EAFE"/>
          </w:tcPr>
          <w:p>
            <w:pPr>
              <w:spacing w:after="40"/>
            </w:pPr>
            <w:r>
              <w:rPr>
                <w:b/>
                <w:sz w:val="18"/>
              </w:rPr>
            </w:r>
            <w:r>
              <w:rPr>
                <w:b/>
                <w:sz w:val="18"/>
              </w:rPr>
              <w:t>What they may do</w:t>
            </w:r>
          </w:p>
        </w:tc>
        <w:tc>
          <w:tcPr>
            <w:tcW w:type="dxa" w:w="2353"/>
            <w:shd w:val="clear" w:color="auto" w:fill="F1EAFE"/>
          </w:tcPr>
          <w:p>
            <w:pPr>
              <w:spacing w:after="40"/>
            </w:pPr>
            <w:r>
              <w:rPr>
                <w:b/>
                <w:sz w:val="18"/>
              </w:rPr>
            </w:r>
            <w:r>
              <w:rPr>
                <w:b/>
                <w:sz w:val="18"/>
              </w:rPr>
              <w:t>What they must not</w:t>
            </w:r>
          </w:p>
        </w:tc>
      </w:tr>
    </w:tbl>
    <w:p>
      <w:pPr>
        <w:spacing w:after="40"/>
      </w:pPr>
    </w:p>
    <w:p>
      <w:pPr>
        <w:pStyle w:val="Heading1"/>
      </w:pPr>
      <w:r>
        <w:t>3. Functional requirements</w:t>
      </w:r>
    </w:p>
    <w:p>
      <w:r>
        <w:t>One behaviour per row. Never reuse an identifier, even after a requirement is withdrawn.</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ID</w:t>
            </w:r>
          </w:p>
        </w:tc>
        <w:tc>
          <w:tcPr>
            <w:tcW w:type="dxa" w:w="1569"/>
            <w:shd w:val="clear" w:color="auto" w:fill="F1EAFE"/>
          </w:tcPr>
          <w:p>
            <w:pPr>
              <w:spacing w:after="40"/>
            </w:pPr>
            <w:r>
              <w:rPr>
                <w:b/>
                <w:sz w:val="18"/>
              </w:rPr>
            </w:r>
            <w:r>
              <w:rPr>
                <w:b/>
                <w:sz w:val="18"/>
              </w:rPr>
              <w:t>Requirement</w:t>
            </w:r>
          </w:p>
        </w:tc>
        <w:tc>
          <w:tcPr>
            <w:tcW w:type="dxa" w:w="1569"/>
            <w:shd w:val="clear" w:color="auto" w:fill="F1EAFE"/>
          </w:tcPr>
          <w:p>
            <w:pPr>
              <w:spacing w:after="40"/>
            </w:pPr>
            <w:r>
              <w:rPr>
                <w:b/>
                <w:sz w:val="18"/>
              </w:rPr>
            </w:r>
            <w:r>
              <w:rPr>
                <w:b/>
                <w:sz w:val="18"/>
              </w:rPr>
              <w:t>Actor</w:t>
            </w:r>
          </w:p>
        </w:tc>
        <w:tc>
          <w:tcPr>
            <w:tcW w:type="dxa" w:w="1569"/>
            <w:shd w:val="clear" w:color="auto" w:fill="F1EAFE"/>
          </w:tcPr>
          <w:p>
            <w:pPr>
              <w:spacing w:after="40"/>
            </w:pPr>
            <w:r>
              <w:rPr>
                <w:b/>
                <w:sz w:val="18"/>
              </w:rPr>
            </w:r>
            <w:r>
              <w:rPr>
                <w:b/>
                <w:sz w:val="18"/>
              </w:rPr>
              <w:t>Trigger</w:t>
            </w:r>
          </w:p>
        </w:tc>
        <w:tc>
          <w:tcPr>
            <w:tcW w:type="dxa" w:w="1569"/>
            <w:shd w:val="clear" w:color="auto" w:fill="F1EAFE"/>
          </w:tcPr>
          <w:p>
            <w:pPr>
              <w:spacing w:after="40"/>
            </w:pPr>
            <w:r>
              <w:rPr>
                <w:b/>
                <w:sz w:val="18"/>
              </w:rPr>
            </w:r>
            <w:r>
              <w:rPr>
                <w:b/>
                <w:sz w:val="18"/>
              </w:rPr>
              <w:t>Expected result</w:t>
            </w:r>
          </w:p>
        </w:tc>
        <w:tc>
          <w:tcPr>
            <w:tcW w:type="dxa" w:w="1569"/>
            <w:shd w:val="clear" w:color="auto" w:fill="F1EAFE"/>
          </w:tcPr>
          <w:p>
            <w:pPr>
              <w:spacing w:after="40"/>
            </w:pPr>
            <w:r>
              <w:rPr>
                <w:b/>
                <w:sz w:val="18"/>
              </w:rPr>
            </w:r>
            <w:r>
              <w:rPr>
                <w:b/>
                <w:sz w:val="18"/>
              </w:rPr>
              <w:t>Priority</w:t>
            </w:r>
          </w:p>
        </w:tc>
      </w:tr>
      <w:tr>
        <w:tc>
          <w:tcPr>
            <w:tcW w:type="dxa" w:w="1569"/>
          </w:tcPr>
          <w:p>
            <w:pPr>
              <w:spacing w:after="40"/>
            </w:pPr>
            <w:r>
              <w:rPr>
                <w:sz w:val="18"/>
              </w:rPr>
            </w:r>
            <w:r>
              <w:rPr>
                <w:sz w:val="18"/>
              </w:rPr>
              <w:t>FR-001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r>
              <w:rPr>
                <w:sz w:val="18"/>
              </w:rPr>
              <w:t>must / should / could</w:t>
            </w:r>
          </w:p>
        </w:tc>
      </w:tr>
      <w:tr>
        <w:tc>
          <w:tcPr>
            <w:tcW w:type="dxa" w:w="1569"/>
          </w:tcPr>
          <w:p>
            <w:pPr>
              <w:spacing w:after="40"/>
            </w:pPr>
            <w:r>
              <w:rPr>
                <w:sz w:val="18"/>
              </w:rPr>
            </w:r>
            <w:r>
              <w:rPr>
                <w:sz w:val="18"/>
              </w:rPr>
              <w:t>FR-002</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r>
        <w:rPr>
          <w:b/>
        </w:rPr>
        <w:t>Wording rules:</w:t>
      </w:r>
      <w:r>
        <w:t xml:space="preserve"> name the actor and the trigger, state one behaviour, avoid </w:t>
      </w:r>
      <w:r>
        <w:rPr>
          <w:i/>
        </w:rPr>
        <w:t>support</w:t>
      </w:r>
      <w:r>
        <w:t xml:space="preserve">, </w:t>
      </w:r>
      <w:r>
        <w:rPr>
          <w:i/>
        </w:rPr>
        <w:t>handle</w:t>
      </w:r>
      <w:r>
        <w:t xml:space="preserve">, </w:t>
      </w:r>
      <w:r>
        <w:rPr>
          <w:i/>
        </w:rPr>
        <w:t>manage</w:t>
      </w:r>
      <w:r>
        <w:t xml:space="preserve">, </w:t>
      </w:r>
      <w:r>
        <w:rPr>
          <w:i/>
        </w:rPr>
        <w:t>appropriate</w:t>
      </w:r>
      <w:r>
        <w:t xml:space="preserve">, </w:t>
      </w:r>
      <w:r>
        <w:rPr>
          <w:i/>
        </w:rPr>
        <w:t>user-friendly</w:t>
      </w:r>
      <w:r>
        <w:t>, state the negative case separately rather than as an aside.</w:t>
      </w:r>
    </w:p>
    <w:p>
      <w:pPr>
        <w:pStyle w:val="Heading1"/>
      </w:pPr>
      <w:r>
        <w:t>4. Business rules</w:t>
      </w:r>
    </w:p>
    <w:p>
      <w:r>
        <w:t>Held separately from the flows that use them, because rules change on a different cycle and a rule described in four places will eventually be described four ways.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ID</w:t>
            </w:r>
          </w:p>
        </w:tc>
        <w:tc>
          <w:tcPr>
            <w:tcW w:type="dxa" w:w="2353"/>
            <w:shd w:val="clear" w:color="auto" w:fill="F1EAFE"/>
          </w:tcPr>
          <w:p>
            <w:pPr>
              <w:spacing w:after="40"/>
            </w:pPr>
            <w:r>
              <w:rPr>
                <w:b/>
                <w:sz w:val="18"/>
              </w:rPr>
            </w:r>
            <w:r>
              <w:rPr>
                <w:b/>
                <w:sz w:val="18"/>
              </w:rPr>
              <w:t>Rule</w:t>
            </w:r>
          </w:p>
        </w:tc>
        <w:tc>
          <w:tcPr>
            <w:tcW w:type="dxa" w:w="2353"/>
            <w:shd w:val="clear" w:color="auto" w:fill="F1EAFE"/>
          </w:tcPr>
          <w:p>
            <w:pPr>
              <w:spacing w:after="40"/>
            </w:pPr>
            <w:r>
              <w:rPr>
                <w:b/>
                <w:sz w:val="18"/>
              </w:rPr>
            </w:r>
            <w:r>
              <w:rPr>
                <w:b/>
                <w:sz w:val="18"/>
              </w:rPr>
              <w:t>Applies when</w:t>
            </w:r>
          </w:p>
        </w:tc>
        <w:tc>
          <w:tcPr>
            <w:tcW w:type="dxa" w:w="2353"/>
            <w:shd w:val="clear" w:color="auto" w:fill="F1EAFE"/>
          </w:tcPr>
          <w:p>
            <w:pPr>
              <w:spacing w:after="40"/>
            </w:pPr>
            <w:r>
              <w:rPr>
                <w:b/>
                <w:sz w:val="18"/>
              </w:rPr>
            </w:r>
            <w:r>
              <w:rPr>
                <w:b/>
                <w:sz w:val="18"/>
              </w:rPr>
              <w:t>Owner</w:t>
            </w:r>
          </w:p>
        </w:tc>
      </w:tr>
      <w:tr>
        <w:tc>
          <w:tcPr>
            <w:tcW w:type="dxa" w:w="2353"/>
          </w:tcPr>
          <w:p>
            <w:pPr>
              <w:spacing w:after="40"/>
            </w:pPr>
            <w:r>
              <w:rPr>
                <w:sz w:val="18"/>
              </w:rPr>
            </w:r>
            <w:r>
              <w:rPr>
                <w:sz w:val="18"/>
              </w:rPr>
              <w:t>BR-001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5. Data</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Field</w:t>
            </w:r>
          </w:p>
        </w:tc>
        <w:tc>
          <w:tcPr>
            <w:tcW w:type="dxa" w:w="1569"/>
            <w:shd w:val="clear" w:color="auto" w:fill="F1EAFE"/>
          </w:tcPr>
          <w:p>
            <w:pPr>
              <w:spacing w:after="40"/>
            </w:pPr>
            <w:r>
              <w:rPr>
                <w:b/>
                <w:sz w:val="18"/>
              </w:rPr>
            </w:r>
            <w:r>
              <w:rPr>
                <w:b/>
                <w:sz w:val="18"/>
              </w:rPr>
              <w:t>Type</w:t>
            </w:r>
          </w:p>
        </w:tc>
        <w:tc>
          <w:tcPr>
            <w:tcW w:type="dxa" w:w="1569"/>
            <w:shd w:val="clear" w:color="auto" w:fill="F1EAFE"/>
          </w:tcPr>
          <w:p>
            <w:pPr>
              <w:spacing w:after="40"/>
            </w:pPr>
            <w:r>
              <w:rPr>
                <w:b/>
                <w:sz w:val="18"/>
              </w:rPr>
            </w:r>
            <w:r>
              <w:rPr>
                <w:b/>
                <w:sz w:val="18"/>
              </w:rPr>
              <w:t>Mandatory</w:t>
            </w:r>
          </w:p>
        </w:tc>
        <w:tc>
          <w:tcPr>
            <w:tcW w:type="dxa" w:w="1569"/>
            <w:shd w:val="clear" w:color="auto" w:fill="F1EAFE"/>
          </w:tcPr>
          <w:p>
            <w:pPr>
              <w:spacing w:after="40"/>
            </w:pPr>
            <w:r>
              <w:rPr>
                <w:b/>
                <w:sz w:val="18"/>
              </w:rPr>
            </w:r>
            <w:r>
              <w:rPr>
                <w:b/>
                <w:sz w:val="18"/>
              </w:rPr>
              <w:t>Validation</w:t>
            </w:r>
          </w:p>
        </w:tc>
        <w:tc>
          <w:tcPr>
            <w:tcW w:type="dxa" w:w="1569"/>
            <w:shd w:val="clear" w:color="auto" w:fill="F1EAFE"/>
          </w:tcPr>
          <w:p>
            <w:pPr>
              <w:spacing w:after="40"/>
            </w:pPr>
            <w:r>
              <w:rPr>
                <w:b/>
                <w:sz w:val="18"/>
              </w:rPr>
            </w:r>
            <w:r>
              <w:rPr>
                <w:b/>
                <w:sz w:val="18"/>
              </w:rPr>
              <w:t>Default</w:t>
            </w:r>
          </w:p>
        </w:tc>
        <w:tc>
          <w:tcPr>
            <w:tcW w:type="dxa" w:w="1569"/>
            <w:shd w:val="clear" w:color="auto" w:fill="F1EAFE"/>
          </w:tcPr>
          <w:p>
            <w:pPr>
              <w:spacing w:after="40"/>
            </w:pPr>
            <w:r>
              <w:rPr>
                <w:b/>
                <w:sz w:val="18"/>
              </w:rPr>
            </w:r>
            <w:r>
              <w:rPr>
                <w:b/>
                <w:sz w:val="18"/>
              </w:rPr>
              <w:t>Retention</w:t>
            </w:r>
          </w:p>
        </w:tc>
      </w:tr>
    </w:tbl>
    <w:p>
      <w:pPr>
        <w:spacing w:after="40"/>
      </w:pPr>
    </w:p>
    <w:p>
      <w:r>
        <w:rPr>
          <w:b/>
        </w:rPr>
        <w:t>Personal data involved:</w:t>
      </w:r>
      <w:r>
        <w:t xml:space="preserve"> yes / no: if yes, classification and lawful basis: _______________</w:t>
      </w:r>
    </w:p>
    <w:p>
      <w:pPr>
        <w:pStyle w:val="Heading1"/>
      </w:pPr>
      <w:r>
        <w:t>6. Interfaces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Interface</w:t>
            </w:r>
          </w:p>
        </w:tc>
        <w:tc>
          <w:tcPr>
            <w:tcW w:type="dxa" w:w="1569"/>
            <w:shd w:val="clear" w:color="auto" w:fill="F1EAFE"/>
          </w:tcPr>
          <w:p>
            <w:pPr>
              <w:spacing w:after="40"/>
            </w:pPr>
            <w:r>
              <w:rPr>
                <w:b/>
                <w:sz w:val="18"/>
              </w:rPr>
            </w:r>
            <w:r>
              <w:rPr>
                <w:b/>
                <w:sz w:val="18"/>
              </w:rPr>
              <w:t>Direction</w:t>
            </w:r>
          </w:p>
        </w:tc>
        <w:tc>
          <w:tcPr>
            <w:tcW w:type="dxa" w:w="1569"/>
            <w:shd w:val="clear" w:color="auto" w:fill="F1EAFE"/>
          </w:tcPr>
          <w:p>
            <w:pPr>
              <w:spacing w:after="40"/>
            </w:pPr>
            <w:r>
              <w:rPr>
                <w:b/>
                <w:sz w:val="18"/>
              </w:rPr>
            </w:r>
            <w:r>
              <w:rPr>
                <w:b/>
                <w:sz w:val="18"/>
              </w:rPr>
              <w:t>Trigger</w:t>
            </w:r>
          </w:p>
        </w:tc>
        <w:tc>
          <w:tcPr>
            <w:tcW w:type="dxa" w:w="1569"/>
            <w:shd w:val="clear" w:color="auto" w:fill="F1EAFE"/>
          </w:tcPr>
          <w:p>
            <w:pPr>
              <w:spacing w:after="40"/>
            </w:pPr>
            <w:r>
              <w:rPr>
                <w:b/>
                <w:sz w:val="18"/>
              </w:rPr>
            </w:r>
            <w:r>
              <w:rPr>
                <w:b/>
                <w:sz w:val="18"/>
              </w:rPr>
              <w:t>Payload</w:t>
            </w:r>
          </w:p>
        </w:tc>
        <w:tc>
          <w:tcPr>
            <w:tcW w:type="dxa" w:w="1569"/>
            <w:shd w:val="clear" w:color="auto" w:fill="F1EAFE"/>
          </w:tcPr>
          <w:p>
            <w:pPr>
              <w:spacing w:after="40"/>
            </w:pPr>
            <w:r>
              <w:rPr>
                <w:b/>
                <w:sz w:val="18"/>
              </w:rPr>
            </w:r>
            <w:r>
              <w:rPr>
                <w:b/>
                <w:sz w:val="18"/>
              </w:rPr>
              <w:t>Behaviour when unavailable</w:t>
            </w:r>
          </w:p>
        </w:tc>
        <w:tc>
          <w:tcPr>
            <w:tcW w:type="dxa" w:w="1569"/>
            <w:shd w:val="clear" w:color="auto" w:fill="F1EAFE"/>
          </w:tcPr>
          <w:p>
            <w:pPr>
              <w:spacing w:after="40"/>
            </w:pPr>
            <w:r>
              <w:rPr>
                <w:b/>
                <w:sz w:val="18"/>
              </w:rPr>
            </w:r>
            <w:r>
              <w:rPr>
                <w:b/>
                <w:sz w:val="18"/>
              </w:rPr>
              <w:t>Safe to repeat?</w:t>
            </w:r>
          </w:p>
        </w:tc>
      </w:tr>
      <w:tr>
        <w:tc>
          <w:tcPr>
            <w:tcW w:type="dxa" w:w="1569"/>
          </w:tcPr>
          <w:p>
            <w:pPr>
              <w:spacing w:after="40"/>
            </w:pPr>
            <w:r>
              <w:rPr>
                <w:sz w:val="18"/>
              </w:rPr>
            </w:r>
          </w:p>
        </w:tc>
        <w:tc>
          <w:tcPr>
            <w:tcW w:type="dxa" w:w="1569"/>
          </w:tcPr>
          <w:p>
            <w:pPr>
              <w:spacing w:after="40"/>
            </w:pPr>
            <w:r>
              <w:rPr>
                <w:sz w:val="18"/>
              </w:rPr>
            </w:r>
            <w:r>
              <w:rPr>
                <w:sz w:val="18"/>
              </w:rPr>
              <w:t>in / out</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r>
              <w:rPr>
                <w:sz w:val="18"/>
              </w:rPr>
              <w:t>yes / no</w:t>
            </w:r>
          </w:p>
        </w:tc>
      </w:tr>
    </w:tbl>
    <w:p>
      <w:pPr>
        <w:spacing w:after="40"/>
      </w:pPr>
    </w:p>
    <w:p>
      <w:r>
        <w:t>The last two columns are the ones usually left blank, and they cause duplicate orders, lost messages and defects that only appear under load. Fill them.</w:t>
      </w:r>
    </w:p>
    <w:p>
      <w:pPr>
        <w:pStyle w:val="Heading1"/>
      </w:pPr>
      <w:r>
        <w:t>7. Error and edge behaviour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Condition</w:t>
            </w:r>
          </w:p>
        </w:tc>
        <w:tc>
          <w:tcPr>
            <w:tcW w:type="dxa" w:w="3137"/>
            <w:shd w:val="clear" w:color="auto" w:fill="F1EAFE"/>
          </w:tcPr>
          <w:p>
            <w:pPr>
              <w:spacing w:after="40"/>
            </w:pPr>
            <w:r>
              <w:rPr>
                <w:b/>
                <w:sz w:val="18"/>
              </w:rPr>
            </w:r>
            <w:r>
              <w:rPr>
                <w:b/>
                <w:sz w:val="18"/>
              </w:rPr>
              <w:t>Expected behaviour</w:t>
            </w:r>
          </w:p>
        </w:tc>
        <w:tc>
          <w:tcPr>
            <w:tcW w:type="dxa" w:w="3137"/>
            <w:shd w:val="clear" w:color="auto" w:fill="F1EAFE"/>
          </w:tcPr>
          <w:p>
            <w:pPr>
              <w:spacing w:after="40"/>
            </w:pPr>
            <w:r>
              <w:rPr>
                <w:b/>
                <w:sz w:val="18"/>
              </w:rPr>
            </w:r>
            <w:r>
              <w:rPr>
                <w:b/>
                <w:sz w:val="18"/>
              </w:rPr>
              <w:t>User sees</w:t>
            </w:r>
          </w:p>
        </w:tc>
      </w:tr>
      <w:tr>
        <w:tc>
          <w:tcPr>
            <w:tcW w:type="dxa" w:w="3137"/>
          </w:tcPr>
          <w:p>
            <w:pPr>
              <w:spacing w:after="40"/>
            </w:pPr>
            <w:r>
              <w:rPr>
                <w:sz w:val="18"/>
              </w:rPr>
            </w:r>
            <w:r>
              <w:rPr>
                <w:sz w:val="18"/>
              </w:rPr>
              <w:t>Required input missing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Invalid input</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Duplicate submission</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Concurrent edit by two users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Downstream system unavailable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Session expires mid-transaction</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Permission denied</w:t>
            </w:r>
          </w:p>
        </w:tc>
        <w:tc>
          <w:tcPr>
            <w:tcW w:type="dxa" w:w="3137"/>
          </w:tcPr>
          <w:p>
            <w:pPr>
              <w:spacing w:after="40"/>
            </w:pPr>
            <w:r>
              <w:rPr>
                <w:sz w:val="18"/>
              </w:rPr>
            </w:r>
          </w:p>
        </w:tc>
        <w:tc>
          <w:tcPr>
            <w:tcW w:type="dxa" w:w="3137"/>
          </w:tcPr>
          <w:p>
            <w:pPr>
              <w:spacing w:after="40"/>
            </w:pPr>
            <w:r>
              <w:rPr>
                <w:sz w:val="18"/>
              </w:rPr>
            </w:r>
          </w:p>
        </w:tc>
      </w:tr>
    </w:tbl>
    <w:p>
      <w:pPr>
        <w:spacing w:after="40"/>
      </w:pPr>
    </w:p>
    <w:p>
      <w:r>
        <w:t>Most defects live here. An FRD thin in this section produces a delivery team asking questions for six weeks.</w:t>
      </w:r>
    </w:p>
    <w:p>
      <w:pPr>
        <w:pStyle w:val="Heading1"/>
      </w:pPr>
      <w:r>
        <w:t>8. Non-functional requirements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Requirement</w:t>
            </w:r>
          </w:p>
        </w:tc>
        <w:tc>
          <w:tcPr>
            <w:tcW w:type="dxa" w:w="3137"/>
            <w:shd w:val="clear" w:color="auto" w:fill="F1EAFE"/>
          </w:tcPr>
          <w:p>
            <w:pPr>
              <w:spacing w:after="40"/>
            </w:pPr>
            <w:r>
              <w:rPr>
                <w:b/>
                <w:sz w:val="18"/>
              </w:rPr>
            </w:r>
            <w:r>
              <w:rPr>
                <w:b/>
                <w:sz w:val="18"/>
              </w:rPr>
              <w:t>Target</w:t>
            </w:r>
          </w:p>
        </w:tc>
        <w:tc>
          <w:tcPr>
            <w:tcW w:type="dxa" w:w="3137"/>
            <w:shd w:val="clear" w:color="auto" w:fill="F1EAFE"/>
          </w:tcPr>
          <w:p>
            <w:pPr>
              <w:spacing w:after="40"/>
            </w:pPr>
            <w:r>
              <w:rPr>
                <w:b/>
                <w:sz w:val="18"/>
              </w:rPr>
            </w:r>
            <w:r>
              <w:rPr>
                <w:b/>
                <w:sz w:val="18"/>
              </w:rPr>
              <w:t>How measured</w:t>
            </w:r>
          </w:p>
        </w:tc>
      </w:tr>
      <w:tr>
        <w:tc>
          <w:tcPr>
            <w:tcW w:type="dxa" w:w="3137"/>
          </w:tcPr>
          <w:p>
            <w:pPr>
              <w:spacing w:after="40"/>
            </w:pPr>
            <w:r>
              <w:rPr>
                <w:sz w:val="18"/>
              </w:rPr>
            </w:r>
            <w:r>
              <w:rPr>
                <w:sz w:val="18"/>
              </w:rPr>
              <w:t>Response time (operation, percentile, load)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Volume / concurrency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Availability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Accessibility standard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Audit / retention</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9. Open questions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Question</w:t>
            </w:r>
          </w:p>
        </w:tc>
        <w:tc>
          <w:tcPr>
            <w:tcW w:type="dxa" w:w="1882"/>
            <w:shd w:val="clear" w:color="auto" w:fill="F1EAFE"/>
          </w:tcPr>
          <w:p>
            <w:pPr>
              <w:spacing w:after="40"/>
            </w:pPr>
            <w:r>
              <w:rPr>
                <w:b/>
                <w:sz w:val="18"/>
              </w:rPr>
            </w:r>
            <w:r>
              <w:rPr>
                <w:b/>
                <w:sz w:val="18"/>
              </w:rPr>
              <w:t>Owner</w:t>
            </w:r>
          </w:p>
        </w:tc>
        <w:tc>
          <w:tcPr>
            <w:tcW w:type="dxa" w:w="1882"/>
            <w:shd w:val="clear" w:color="auto" w:fill="F1EAFE"/>
          </w:tcPr>
          <w:p>
            <w:pPr>
              <w:spacing w:after="40"/>
            </w:pPr>
            <w:r>
              <w:rPr>
                <w:b/>
                <w:sz w:val="18"/>
              </w:rPr>
            </w:r>
            <w:r>
              <w:rPr>
                <w:b/>
                <w:sz w:val="18"/>
              </w:rPr>
              <w:t>Needed by</w:t>
            </w:r>
          </w:p>
        </w:tc>
        <w:tc>
          <w:tcPr>
            <w:tcW w:type="dxa" w:w="1882"/>
            <w:shd w:val="clear" w:color="auto" w:fill="F1EAFE"/>
          </w:tcPr>
          <w:p>
            <w:pPr>
              <w:spacing w:after="40"/>
            </w:pPr>
            <w:r>
              <w:rPr>
                <w:b/>
                <w:sz w:val="18"/>
              </w:rPr>
            </w:r>
            <w:r>
              <w:rPr>
                <w:b/>
                <w:sz w:val="18"/>
              </w:rPr>
              <w:t>Resolved</w:t>
            </w:r>
          </w:p>
        </w:tc>
      </w:tr>
    </w:tbl>
    <w:p>
      <w:pPr>
        <w:spacing w:after="40"/>
      </w:pPr>
    </w:p>
    <w:p>
      <w:r>
        <w:t>Unknowns are normal. Unrecorded unknowns become assumptions nobody agreed to.</w:t>
      </w:r>
    </w:p>
    <w:p>
      <w:pPr>
        <w:pStyle w:val="Heading1"/>
      </w:pPr>
      <w:r>
        <w:t>10.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Delivery lead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Test lead</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Functional Requirements Document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Functional Requirements Document</dc:title>
  <dc:subject/>
  <dc:creator>BvLogic</dc:creator>
  <cp:keywords>BvLogic, Template, enterprise AI, Functional Requirements Document</cp:keywords>
  <dc:description/>
  <cp:lastModifiedBy/>
  <cp:revision>1</cp:revision>
  <dcterms:created xsi:type="dcterms:W3CDTF">2013-12-23T23:15:00Z</dcterms:created>
  <dcterms:modified xsi:type="dcterms:W3CDTF">2013-12-23T23:15:00Z</dcterms:modified>
  <cp:category>Template</cp:category>
  <dc:language>en-GB</dc:language>
</cp:coreProperties>
</file>