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Payment Provider Integration Specification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BVL-53BD2C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Complete before writing the integration. The sections that decide whether this works are §3</w:t>
      </w:r>
    </w:p>
    <w:p>
      <w:pPr>
        <w:ind w:left="454"/>
        <w:shd w:val="clear" w:color="auto" w:fill="FAFAFB"/>
      </w:pPr>
      <w:r>
        <w:rPr>
          <w:i/>
        </w:rPr>
        <w:t>(idempotency), §4 (the ambiguous state) and §7 (reconciliation), the rest is detail around them.</w:t>
      </w:r>
    </w:p>
    <w:p>
      <w:r>
        <w:rPr>
          <w:b/>
        </w:rPr>
        <w:t>Provider:</w:t>
      </w:r>
      <w:r>
        <w:t xml:space="preserve"> _______________  </w:t>
      </w:r>
      <w:r>
        <w:rPr>
          <w:b/>
        </w:rPr>
        <w:t>Product / flow:</w:t>
      </w:r>
      <w:r>
        <w:t xml:space="preserve"> _______________ </w:t>
      </w:r>
      <w:r>
        <w:rPr>
          <w:b/>
        </w:rPr>
        <w:t>Owner:</w:t>
      </w:r>
      <w:r>
        <w:t xml:space="preserve"> _______________  </w:t>
      </w:r>
      <w:r>
        <w:rPr>
          <w:b/>
        </w:rPr>
        <w:t>Date:</w:t>
      </w:r>
      <w:r>
        <w:t xml:space="preserve"> _______</w:t>
      </w:r>
    </w:p>
    <w:p>
      <w:pPr>
        <w:pStyle w:val="Heading1"/>
      </w:pPr>
      <w:r>
        <w:t>1. Scope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Payment methods supported</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Currencies</w:t>
            </w:r>
          </w:p>
        </w:tc>
        <w:tc>
          <w:tcPr>
            <w:tcW w:type="dxa" w:w="4706"/>
          </w:tcPr>
          <w:p>
            <w:pPr>
              <w:spacing w:after="40"/>
            </w:pPr>
            <w:r>
              <w:rPr>
                <w:sz w:val="18"/>
              </w:rPr>
            </w:r>
          </w:p>
        </w:tc>
      </w:tr>
      <w:tr>
        <w:tc>
          <w:tcPr>
            <w:tcW w:type="dxa" w:w="4706"/>
          </w:tcPr>
          <w:p>
            <w:pPr>
              <w:spacing w:after="40"/>
            </w:pPr>
            <w:r>
              <w:rPr>
                <w:sz w:val="18"/>
              </w:rPr>
            </w:r>
            <w:r>
              <w:rPr>
                <w:sz w:val="18"/>
              </w:rPr>
              <w:t>Markets / jurisdictions</w:t>
            </w:r>
          </w:p>
        </w:tc>
        <w:tc>
          <w:tcPr>
            <w:tcW w:type="dxa" w:w="4706"/>
          </w:tcPr>
          <w:p>
            <w:pPr>
              <w:spacing w:after="40"/>
            </w:pPr>
            <w:r>
              <w:rPr>
                <w:sz w:val="18"/>
              </w:rPr>
            </w:r>
          </w:p>
        </w:tc>
      </w:tr>
      <w:tr>
        <w:tc>
          <w:tcPr>
            <w:tcW w:type="dxa" w:w="4706"/>
          </w:tcPr>
          <w:p>
            <w:pPr>
              <w:spacing w:after="40"/>
            </w:pPr>
            <w:r>
              <w:rPr>
                <w:sz w:val="18"/>
              </w:rPr>
            </w:r>
            <w:r>
              <w:rPr>
                <w:sz w:val="18"/>
              </w:rPr>
              <w:t>Who holds customer funds</w:t>
            </w:r>
          </w:p>
        </w:tc>
        <w:tc>
          <w:tcPr>
            <w:tcW w:type="dxa" w:w="4706"/>
          </w:tcPr>
          <w:p>
            <w:pPr>
              <w:spacing w:after="40"/>
            </w:pPr>
            <w:r>
              <w:rPr>
                <w:sz w:val="18"/>
              </w:rPr>
            </w:r>
          </w:p>
        </w:tc>
      </w:tr>
      <w:tr>
        <w:tc>
          <w:tcPr>
            <w:tcW w:type="dxa" w:w="4706"/>
          </w:tcPr>
          <w:p>
            <w:pPr>
              <w:spacing w:after="40"/>
            </w:pPr>
            <w:r>
              <w:rPr>
                <w:sz w:val="18"/>
              </w:rPr>
            </w:r>
            <w:r>
              <w:rPr>
                <w:sz w:val="18"/>
              </w:rPr>
              <w:t>Our regulated status for this flow</w:t>
            </w:r>
          </w:p>
        </w:tc>
        <w:tc>
          <w:tcPr>
            <w:tcW w:type="dxa" w:w="4706"/>
          </w:tcPr>
          <w:p>
            <w:pPr>
              <w:spacing w:after="40"/>
            </w:pPr>
            <w:r>
              <w:rPr>
                <w:sz w:val="18"/>
              </w:rPr>
            </w:r>
            <w:r>
              <w:rPr>
                <w:sz w:val="18"/>
              </w:rPr>
              <w:t>(confirmed in writing? yes / no)</w:t>
            </w:r>
          </w:p>
        </w:tc>
      </w:tr>
    </w:tbl>
    <w:p>
      <w:pPr>
        <w:spacing w:after="40"/>
      </w:pPr>
    </w:p>
    <w:p>
      <w:pPr>
        <w:pStyle w:val="Heading1"/>
      </w:pPr>
      <w:r>
        <w:t>2. Money movement map</w:t>
      </w:r>
    </w:p>
    <w:p>
      <w:r>
        <w:t>Draw every path money can take, including failures.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Event</w:t>
            </w:r>
          </w:p>
        </w:tc>
        <w:tc>
          <w:tcPr>
            <w:tcW w:type="dxa" w:w="2353"/>
            <w:shd w:val="clear" w:color="auto" w:fill="F1EAFE"/>
          </w:tcPr>
          <w:p>
            <w:pPr>
              <w:spacing w:after="40"/>
            </w:pPr>
            <w:r>
              <w:rPr>
                <w:b/>
                <w:sz w:val="18"/>
              </w:rPr>
            </w:r>
            <w:r>
              <w:rPr>
                <w:b/>
                <w:sz w:val="18"/>
              </w:rPr>
              <w:t>Money moves</w:t>
            </w:r>
          </w:p>
        </w:tc>
        <w:tc>
          <w:tcPr>
            <w:tcW w:type="dxa" w:w="2353"/>
            <w:shd w:val="clear" w:color="auto" w:fill="F1EAFE"/>
          </w:tcPr>
          <w:p>
            <w:pPr>
              <w:spacing w:after="40"/>
            </w:pPr>
            <w:r>
              <w:rPr>
                <w:b/>
                <w:sz w:val="18"/>
              </w:rPr>
            </w:r>
            <w:r>
              <w:rPr>
                <w:b/>
                <w:sz w:val="18"/>
              </w:rPr>
              <w:t>Ledger entries written</w:t>
            </w:r>
          </w:p>
        </w:tc>
      </w:tr>
      <w:tr>
        <w:tc>
          <w:tcPr>
            <w:tcW w:type="dxa" w:w="2353"/>
          </w:tcPr>
          <w:p>
            <w:pPr>
              <w:spacing w:after="40"/>
            </w:pPr>
            <w:r>
              <w:rPr>
                <w:sz w:val="18"/>
              </w:rPr>
            </w:r>
            <w:r>
              <w:rPr>
                <w:sz w:val="18"/>
              </w:rPr>
              <w:t>1</w:t>
            </w:r>
          </w:p>
        </w:tc>
        <w:tc>
          <w:tcPr>
            <w:tcW w:type="dxa" w:w="2353"/>
          </w:tcPr>
          <w:p>
            <w:pPr>
              <w:spacing w:after="40"/>
            </w:pPr>
            <w:r>
              <w:rPr>
                <w:sz w:val="18"/>
              </w:rPr>
            </w:r>
            <w:r>
              <w:rPr>
                <w:sz w:val="18"/>
              </w:rPr>
              <w:t>Authorisation</w:t>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2</w:t>
            </w:r>
          </w:p>
        </w:tc>
        <w:tc>
          <w:tcPr>
            <w:tcW w:type="dxa" w:w="2353"/>
          </w:tcPr>
          <w:p>
            <w:pPr>
              <w:spacing w:after="40"/>
            </w:pPr>
            <w:r>
              <w:rPr>
                <w:sz w:val="18"/>
              </w:rPr>
            </w:r>
            <w:r>
              <w:rPr>
                <w:sz w:val="18"/>
              </w:rPr>
              <w:t>Capture</w:t>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3</w:t>
            </w:r>
          </w:p>
        </w:tc>
        <w:tc>
          <w:tcPr>
            <w:tcW w:type="dxa" w:w="2353"/>
          </w:tcPr>
          <w:p>
            <w:pPr>
              <w:spacing w:after="40"/>
            </w:pPr>
            <w:r>
              <w:rPr>
                <w:sz w:val="18"/>
              </w:rPr>
            </w:r>
            <w:r>
              <w:rPr>
                <w:sz w:val="18"/>
              </w:rPr>
              <w:t>Settlement</w:t>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4</w:t>
            </w:r>
          </w:p>
        </w:tc>
        <w:tc>
          <w:tcPr>
            <w:tcW w:type="dxa" w:w="2353"/>
          </w:tcPr>
          <w:p>
            <w:pPr>
              <w:spacing w:after="40"/>
            </w:pPr>
            <w:r>
              <w:rPr>
                <w:sz w:val="18"/>
              </w:rPr>
            </w:r>
            <w:r>
              <w:rPr>
                <w:sz w:val="18"/>
              </w:rPr>
              <w:t>Refund</w:t>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5</w:t>
            </w:r>
          </w:p>
        </w:tc>
        <w:tc>
          <w:tcPr>
            <w:tcW w:type="dxa" w:w="2353"/>
          </w:tcPr>
          <w:p>
            <w:pPr>
              <w:spacing w:after="40"/>
            </w:pPr>
            <w:r>
              <w:rPr>
                <w:sz w:val="18"/>
              </w:rPr>
            </w:r>
            <w:r>
              <w:rPr>
                <w:sz w:val="18"/>
              </w:rPr>
              <w:t>Partial refund</w:t>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6</w:t>
            </w:r>
          </w:p>
        </w:tc>
        <w:tc>
          <w:tcPr>
            <w:tcW w:type="dxa" w:w="2353"/>
          </w:tcPr>
          <w:p>
            <w:pPr>
              <w:spacing w:after="40"/>
            </w:pPr>
            <w:r>
              <w:rPr>
                <w:sz w:val="18"/>
              </w:rPr>
            </w:r>
            <w:r>
              <w:rPr>
                <w:sz w:val="18"/>
              </w:rPr>
              <w:t>Chargeback</w:t>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7</w:t>
            </w:r>
          </w:p>
        </w:tc>
        <w:tc>
          <w:tcPr>
            <w:tcW w:type="dxa" w:w="2353"/>
          </w:tcPr>
          <w:p>
            <w:pPr>
              <w:spacing w:after="40"/>
            </w:pPr>
            <w:r>
              <w:rPr>
                <w:sz w:val="18"/>
              </w:rPr>
            </w:r>
            <w:r>
              <w:rPr>
                <w:sz w:val="18"/>
              </w:rPr>
              <w:t>Chargeback reversal</w:t>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8</w:t>
            </w:r>
          </w:p>
        </w:tc>
        <w:tc>
          <w:tcPr>
            <w:tcW w:type="dxa" w:w="2353"/>
          </w:tcPr>
          <w:p>
            <w:pPr>
              <w:spacing w:after="40"/>
            </w:pPr>
            <w:r>
              <w:rPr>
                <w:sz w:val="18"/>
              </w:rPr>
            </w:r>
            <w:r>
              <w:rPr>
                <w:sz w:val="18"/>
              </w:rPr>
              <w:t>Provider fee</w:t>
            </w:r>
          </w:p>
        </w:tc>
        <w:tc>
          <w:tcPr>
            <w:tcW w:type="dxa" w:w="2353"/>
          </w:tcPr>
          <w:p>
            <w:pPr>
              <w:spacing w:after="40"/>
            </w:pPr>
            <w:r>
              <w:rPr>
                <w:sz w:val="18"/>
              </w:rPr>
            </w:r>
          </w:p>
        </w:tc>
        <w:tc>
          <w:tcPr>
            <w:tcW w:type="dxa" w:w="2353"/>
          </w:tcPr>
          <w:p>
            <w:pPr>
              <w:spacing w:after="40"/>
            </w:pPr>
            <w:r>
              <w:rPr>
                <w:sz w:val="18"/>
              </w:rPr>
            </w:r>
          </w:p>
        </w:tc>
      </w:tr>
    </w:tbl>
    <w:p>
      <w:pPr>
        <w:spacing w:after="40"/>
      </w:pPr>
    </w:p>
    <w:p>
      <w:r>
        <w:rPr>
          <w:b/>
        </w:rPr>
        <w:t>Every row must have a ledger entry pair.</w:t>
      </w:r>
      <w:r>
        <w:t xml:space="preserve"> A movement with no entry is a break waiting to happen.</w:t>
      </w:r>
    </w:p>
    <w:p>
      <w:pPr>
        <w:pStyle w:val="Heading1"/>
      </w:pPr>
      <w:r>
        <w:t>3. Idempotency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Key generated by</w:t>
            </w:r>
          </w:p>
        </w:tc>
        <w:tc>
          <w:tcPr>
            <w:tcW w:type="dxa" w:w="4706"/>
            <w:shd w:val="clear" w:color="auto" w:fill="F1EAFE"/>
          </w:tcPr>
          <w:p>
            <w:pPr>
              <w:spacing w:after="40"/>
            </w:pPr>
            <w:r>
              <w:rPr>
                <w:b/>
                <w:sz w:val="18"/>
              </w:rPr>
            </w:r>
            <w:r>
              <w:rPr>
                <w:b/>
                <w:sz w:val="18"/>
              </w:rPr>
              <w:t>client / server</w:t>
            </w:r>
          </w:p>
        </w:tc>
      </w:tr>
      <w:tr>
        <w:tc>
          <w:tcPr>
            <w:tcW w:type="dxa" w:w="4706"/>
          </w:tcPr>
          <w:p>
            <w:pPr>
              <w:spacing w:after="40"/>
            </w:pPr>
            <w:r>
              <w:rPr>
                <w:sz w:val="18"/>
              </w:rPr>
            </w:r>
            <w:r>
              <w:rPr>
                <w:sz w:val="18"/>
              </w:rPr>
              <w:t>Scope of one key</w:t>
            </w:r>
          </w:p>
        </w:tc>
        <w:tc>
          <w:tcPr>
            <w:tcW w:type="dxa" w:w="4706"/>
          </w:tcPr>
          <w:p>
            <w:pPr>
              <w:spacing w:after="40"/>
            </w:pPr>
            <w:r>
              <w:rPr>
                <w:sz w:val="18"/>
              </w:rPr>
            </w:r>
            <w:r>
              <w:rPr>
                <w:sz w:val="18"/>
              </w:rPr>
              <w:t>one logical payment attempt</w:t>
            </w:r>
          </w:p>
        </w:tc>
      </w:tr>
      <w:tr>
        <w:tc>
          <w:tcPr>
            <w:tcW w:type="dxa" w:w="4706"/>
          </w:tcPr>
          <w:p>
            <w:pPr>
              <w:spacing w:after="40"/>
            </w:pPr>
            <w:r>
              <w:rPr>
                <w:sz w:val="18"/>
              </w:rPr>
            </w:r>
            <w:r>
              <w:rPr>
                <w:sz w:val="18"/>
              </w:rPr>
              <w:t>Where stored, and for how long</w:t>
            </w:r>
          </w:p>
        </w:tc>
        <w:tc>
          <w:tcPr>
            <w:tcW w:type="dxa" w:w="4706"/>
          </w:tcPr>
          <w:p>
            <w:pPr>
              <w:spacing w:after="40"/>
            </w:pPr>
            <w:r>
              <w:rPr>
                <w:sz w:val="18"/>
              </w:rPr>
            </w:r>
          </w:p>
        </w:tc>
      </w:tr>
      <w:tr>
        <w:tc>
          <w:tcPr>
            <w:tcW w:type="dxa" w:w="4706"/>
          </w:tcPr>
          <w:p>
            <w:pPr>
              <w:spacing w:after="40"/>
            </w:pPr>
            <w:r>
              <w:rPr>
                <w:sz w:val="18"/>
              </w:rPr>
            </w:r>
            <w:r>
              <w:rPr>
                <w:sz w:val="18"/>
              </w:rPr>
              <w:t>What a repeat of the same key returns</w:t>
            </w:r>
          </w:p>
        </w:tc>
        <w:tc>
          <w:tcPr>
            <w:tcW w:type="dxa" w:w="4706"/>
          </w:tcPr>
          <w:p>
            <w:pPr>
              <w:spacing w:after="40"/>
            </w:pPr>
            <w:r>
              <w:rPr>
                <w:sz w:val="18"/>
              </w:rPr>
            </w:r>
          </w:p>
        </w:tc>
      </w:tr>
      <w:tr>
        <w:tc>
          <w:tcPr>
            <w:tcW w:type="dxa" w:w="4706"/>
          </w:tcPr>
          <w:p>
            <w:pPr>
              <w:spacing w:after="40"/>
            </w:pPr>
            <w:r>
              <w:rPr>
                <w:sz w:val="18"/>
              </w:rPr>
            </w:r>
            <w:r>
              <w:rPr>
                <w:sz w:val="18"/>
              </w:rPr>
              <w:t>Provider's own idempotency support</w:t>
            </w:r>
          </w:p>
        </w:tc>
        <w:tc>
          <w:tcPr>
            <w:tcW w:type="dxa" w:w="4706"/>
          </w:tcPr>
          <w:p>
            <w:pPr>
              <w:spacing w:after="40"/>
            </w:pPr>
            <w:r>
              <w:rPr>
                <w:sz w:val="18"/>
              </w:rPr>
            </w:r>
          </w:p>
        </w:tc>
      </w:tr>
      <w:tr>
        <w:tc>
          <w:tcPr>
            <w:tcW w:type="dxa" w:w="4706"/>
          </w:tcPr>
          <w:p>
            <w:pPr>
              <w:spacing w:after="40"/>
            </w:pPr>
            <w:r>
              <w:rPr>
                <w:sz w:val="18"/>
              </w:rPr>
            </w:r>
            <w:r>
              <w:rPr>
                <w:b/>
                <w:sz w:val="18"/>
              </w:rPr>
              <w:t>Tested by submitting the same payment twice</w:t>
            </w:r>
          </w:p>
        </w:tc>
        <w:tc>
          <w:tcPr>
            <w:tcW w:type="dxa" w:w="4706"/>
          </w:tcPr>
          <w:p>
            <w:pPr>
              <w:spacing w:after="40"/>
            </w:pPr>
            <w:r>
              <w:rPr>
                <w:sz w:val="18"/>
              </w:rPr>
            </w:r>
            <w:r>
              <w:rPr>
                <w:sz w:val="18"/>
              </w:rPr>
              <w:t>yes / no, result:</w:t>
            </w:r>
          </w:p>
        </w:tc>
      </w:tr>
    </w:tbl>
    <w:p>
      <w:pPr>
        <w:spacing w:after="40"/>
      </w:pPr>
    </w:p>
    <w:p>
      <w:r>
        <w:t xml:space="preserve">The key must be generated by the </w:t>
      </w:r>
      <w:r>
        <w:rPr>
          <w:b/>
        </w:rPr>
        <w:t>client</w:t>
      </w:r>
      <w:r>
        <w:t>. A server-generated key is new on every request, which defeats the mechanism entirely, and the code looks correct.</w:t>
      </w:r>
    </w:p>
    <w:p>
      <w:pPr>
        <w:pStyle w:val="Heading1"/>
      </w:pPr>
      <w:r>
        <w:t>4. The ambiguous state: the section most often skipped</w:t>
      </w:r>
    </w:p>
    <w:p>
      <w:r>
        <w:rPr>
          <w:b/>
        </w:rPr>
        <w:t>When a request times out, how do we determine whether it happened?</w:t>
      </w:r>
    </w:p>
    <w:p>
      <w:r>
        <w:t>_______________</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Our own reference sent with every request</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Provider endpoint to query by our reference</w:t>
            </w:r>
          </w:p>
        </w:tc>
        <w:tc>
          <w:tcPr>
            <w:tcW w:type="dxa" w:w="4706"/>
          </w:tcPr>
          <w:p>
            <w:pPr>
              <w:spacing w:after="40"/>
            </w:pPr>
            <w:r>
              <w:rPr>
                <w:sz w:val="18"/>
              </w:rPr>
            </w:r>
          </w:p>
        </w:tc>
      </w:tr>
      <w:tr>
        <w:tc>
          <w:tcPr>
            <w:tcW w:type="dxa" w:w="4706"/>
          </w:tcPr>
          <w:p>
            <w:pPr>
              <w:spacing w:after="40"/>
            </w:pPr>
            <w:r>
              <w:rPr>
                <w:sz w:val="18"/>
              </w:rPr>
            </w:r>
            <w:r>
              <w:rPr>
                <w:sz w:val="18"/>
              </w:rPr>
              <w:t>Timeout value</w:t>
            </w:r>
          </w:p>
        </w:tc>
        <w:tc>
          <w:tcPr>
            <w:tcW w:type="dxa" w:w="4706"/>
          </w:tcPr>
          <w:p>
            <w:pPr>
              <w:spacing w:after="40"/>
            </w:pPr>
            <w:r>
              <w:rPr>
                <w:sz w:val="18"/>
              </w:rPr>
            </w:r>
          </w:p>
        </w:tc>
      </w:tr>
      <w:tr>
        <w:tc>
          <w:tcPr>
            <w:tcW w:type="dxa" w:w="4706"/>
          </w:tcPr>
          <w:p>
            <w:pPr>
              <w:spacing w:after="40"/>
            </w:pPr>
            <w:r>
              <w:rPr>
                <w:sz w:val="18"/>
              </w:rPr>
            </w:r>
            <w:r>
              <w:rPr>
                <w:sz w:val="18"/>
              </w:rPr>
              <w:t>Retry policy</w:t>
            </w:r>
          </w:p>
        </w:tc>
        <w:tc>
          <w:tcPr>
            <w:tcW w:type="dxa" w:w="4706"/>
          </w:tcPr>
          <w:p>
            <w:pPr>
              <w:spacing w:after="40"/>
            </w:pPr>
            <w:r>
              <w:rPr>
                <w:sz w:val="18"/>
              </w:rPr>
            </w:r>
          </w:p>
        </w:tc>
      </w:tr>
      <w:tr>
        <w:tc>
          <w:tcPr>
            <w:tcW w:type="dxa" w:w="4706"/>
          </w:tcPr>
          <w:p>
            <w:pPr>
              <w:spacing w:after="40"/>
            </w:pPr>
            <w:r>
              <w:rPr>
                <w:sz w:val="18"/>
              </w:rPr>
            </w:r>
            <w:r>
              <w:rPr>
                <w:b/>
                <w:sz w:val="18"/>
              </w:rPr>
              <w:t>Does a retry carry the idempotency key</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Maximum time before a payment is resolved either way</w:t>
            </w:r>
          </w:p>
        </w:tc>
        <w:tc>
          <w:tcPr>
            <w:tcW w:type="dxa" w:w="4706"/>
          </w:tcPr>
          <w:p>
            <w:pPr>
              <w:spacing w:after="40"/>
            </w:pPr>
            <w:r>
              <w:rPr>
                <w:sz w:val="18"/>
              </w:rPr>
            </w:r>
          </w:p>
        </w:tc>
      </w:tr>
    </w:tbl>
    <w:p>
      <w:pPr>
        <w:spacing w:after="40"/>
      </w:pPr>
    </w:p>
    <w:p>
      <w:r>
        <w:t xml:space="preserve">A timeout is </w:t>
      </w:r>
      <w:r>
        <w:rPr>
          <w:b/>
        </w:rPr>
        <w:t>not</w:t>
      </w:r>
      <w:r>
        <w:t xml:space="preserve"> a failure. It is an unknown, and treating it as a failure is how customers are charged twice.</w:t>
      </w:r>
    </w:p>
    <w:p>
      <w:pPr>
        <w:pStyle w:val="Heading1"/>
      </w:pPr>
      <w:r>
        <w:t>5. Failure behaviour the customer sees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Condition</w:t>
            </w:r>
          </w:p>
        </w:tc>
        <w:tc>
          <w:tcPr>
            <w:tcW w:type="dxa" w:w="3137"/>
            <w:shd w:val="clear" w:color="auto" w:fill="F1EAFE"/>
          </w:tcPr>
          <w:p>
            <w:pPr>
              <w:spacing w:after="40"/>
            </w:pPr>
            <w:r>
              <w:rPr>
                <w:b/>
                <w:sz w:val="18"/>
              </w:rPr>
            </w:r>
            <w:r>
              <w:rPr>
                <w:b/>
                <w:sz w:val="18"/>
              </w:rPr>
              <w:t>What the customer sees</w:t>
            </w:r>
          </w:p>
        </w:tc>
        <w:tc>
          <w:tcPr>
            <w:tcW w:type="dxa" w:w="3137"/>
            <w:shd w:val="clear" w:color="auto" w:fill="F1EAFE"/>
          </w:tcPr>
          <w:p>
            <w:pPr>
              <w:spacing w:after="40"/>
            </w:pPr>
            <w:r>
              <w:rPr>
                <w:b/>
                <w:sz w:val="18"/>
              </w:rPr>
            </w:r>
            <w:r>
              <w:rPr>
                <w:b/>
                <w:sz w:val="18"/>
              </w:rPr>
              <w:t>What happens to the basket / order</w:t>
            </w:r>
          </w:p>
        </w:tc>
      </w:tr>
      <w:tr>
        <w:tc>
          <w:tcPr>
            <w:tcW w:type="dxa" w:w="3137"/>
          </w:tcPr>
          <w:p>
            <w:pPr>
              <w:spacing w:after="40"/>
            </w:pPr>
            <w:r>
              <w:rPr>
                <w:sz w:val="18"/>
              </w:rPr>
            </w:r>
            <w:r>
              <w:rPr>
                <w:sz w:val="18"/>
              </w:rPr>
              <w:t>Declined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Timeout</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Provider unavailable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Our system unavailable mid-flow</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Duplicate detected</w:t>
            </w:r>
          </w:p>
        </w:tc>
        <w:tc>
          <w:tcPr>
            <w:tcW w:type="dxa" w:w="3137"/>
          </w:tcPr>
          <w:p>
            <w:pPr>
              <w:spacing w:after="40"/>
            </w:pPr>
            <w:r>
              <w:rPr>
                <w:sz w:val="18"/>
              </w:rPr>
            </w:r>
          </w:p>
        </w:tc>
        <w:tc>
          <w:tcPr>
            <w:tcW w:type="dxa" w:w="3137"/>
          </w:tcPr>
          <w:p>
            <w:pPr>
              <w:spacing w:after="40"/>
            </w:pPr>
            <w:r>
              <w:rPr>
                <w:sz w:val="18"/>
              </w:rPr>
            </w:r>
          </w:p>
        </w:tc>
      </w:tr>
    </w:tbl>
    <w:p>
      <w:pPr>
        <w:spacing w:after="40"/>
      </w:pPr>
    </w:p>
    <w:p>
      <w:pPr>
        <w:pStyle w:val="Heading1"/>
      </w:pPr>
      <w:r>
        <w:t>6. Data</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Card data touches our systems</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If yes, PCI DSS scope and justification</w:t>
            </w:r>
          </w:p>
        </w:tc>
        <w:tc>
          <w:tcPr>
            <w:tcW w:type="dxa" w:w="4706"/>
          </w:tcPr>
          <w:p>
            <w:pPr>
              <w:spacing w:after="40"/>
            </w:pPr>
            <w:r>
              <w:rPr>
                <w:sz w:val="18"/>
              </w:rPr>
            </w:r>
          </w:p>
        </w:tc>
      </w:tr>
      <w:tr>
        <w:tc>
          <w:tcPr>
            <w:tcW w:type="dxa" w:w="4706"/>
          </w:tcPr>
          <w:p>
            <w:pPr>
              <w:spacing w:after="40"/>
            </w:pPr>
            <w:r>
              <w:rPr>
                <w:sz w:val="18"/>
              </w:rPr>
            </w:r>
            <w:r>
              <w:rPr>
                <w:sz w:val="18"/>
              </w:rPr>
              <w:t>Tokenisation used</w:t>
            </w:r>
          </w:p>
        </w:tc>
        <w:tc>
          <w:tcPr>
            <w:tcW w:type="dxa" w:w="4706"/>
          </w:tcPr>
          <w:p>
            <w:pPr>
              <w:spacing w:after="40"/>
            </w:pPr>
            <w:r>
              <w:rPr>
                <w:sz w:val="18"/>
              </w:rPr>
            </w:r>
          </w:p>
        </w:tc>
      </w:tr>
      <w:tr>
        <w:tc>
          <w:tcPr>
            <w:tcW w:type="dxa" w:w="4706"/>
          </w:tcPr>
          <w:p>
            <w:pPr>
              <w:spacing w:after="40"/>
            </w:pPr>
            <w:r>
              <w:rPr>
                <w:sz w:val="18"/>
              </w:rPr>
            </w:r>
            <w:r>
              <w:rPr>
                <w:sz w:val="18"/>
              </w:rPr>
              <w:t>What we store</w:t>
            </w:r>
          </w:p>
        </w:tc>
        <w:tc>
          <w:tcPr>
            <w:tcW w:type="dxa" w:w="4706"/>
          </w:tcPr>
          <w:p>
            <w:pPr>
              <w:spacing w:after="40"/>
            </w:pPr>
            <w:r>
              <w:rPr>
                <w:sz w:val="18"/>
              </w:rPr>
            </w:r>
          </w:p>
        </w:tc>
      </w:tr>
      <w:tr>
        <w:tc>
          <w:tcPr>
            <w:tcW w:type="dxa" w:w="4706"/>
          </w:tcPr>
          <w:p>
            <w:pPr>
              <w:spacing w:after="40"/>
            </w:pPr>
            <w:r>
              <w:rPr>
                <w:sz w:val="18"/>
              </w:rPr>
            </w:r>
            <w:r>
              <w:rPr>
                <w:sz w:val="18"/>
              </w:rPr>
              <w:t>Retention</w:t>
            </w:r>
          </w:p>
        </w:tc>
        <w:tc>
          <w:tcPr>
            <w:tcW w:type="dxa" w:w="4706"/>
          </w:tcPr>
          <w:p>
            <w:pPr>
              <w:spacing w:after="40"/>
            </w:pPr>
            <w:r>
              <w:rPr>
                <w:sz w:val="18"/>
              </w:rPr>
            </w:r>
          </w:p>
        </w:tc>
      </w:tr>
      <w:tr>
        <w:tc>
          <w:tcPr>
            <w:tcW w:type="dxa" w:w="4706"/>
          </w:tcPr>
          <w:p>
            <w:pPr>
              <w:spacing w:after="40"/>
            </w:pPr>
            <w:r>
              <w:rPr>
                <w:sz w:val="18"/>
              </w:rPr>
            </w:r>
            <w:r>
              <w:rPr>
                <w:sz w:val="18"/>
              </w:rPr>
              <w:t>Personal data, lawful basis</w:t>
            </w:r>
          </w:p>
        </w:tc>
        <w:tc>
          <w:tcPr>
            <w:tcW w:type="dxa" w:w="4706"/>
          </w:tcPr>
          <w:p>
            <w:pPr>
              <w:spacing w:after="40"/>
            </w:pPr>
            <w:r>
              <w:rPr>
                <w:sz w:val="18"/>
              </w:rPr>
            </w:r>
          </w:p>
        </w:tc>
      </w:tr>
    </w:tbl>
    <w:p>
      <w:pPr>
        <w:spacing w:after="40"/>
      </w:pPr>
    </w:p>
    <w:p>
      <w:r>
        <w:t>Storing card data pulls a large and permanent compliance scope into your systems. If the answer to the first row is yes, it needs an explicit reason.</w:t>
      </w:r>
    </w:p>
    <w:p>
      <w:pPr>
        <w:pStyle w:val="Heading1"/>
      </w:pPr>
      <w:r>
        <w:t>7. Reconciliation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Source of truth from the provider</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Frequency and cut-off</w:t>
            </w:r>
          </w:p>
        </w:tc>
        <w:tc>
          <w:tcPr>
            <w:tcW w:type="dxa" w:w="4706"/>
          </w:tcPr>
          <w:p>
            <w:pPr>
              <w:spacing w:after="40"/>
            </w:pPr>
            <w:r>
              <w:rPr>
                <w:sz w:val="18"/>
              </w:rPr>
            </w:r>
          </w:p>
        </w:tc>
      </w:tr>
      <w:tr>
        <w:tc>
          <w:tcPr>
            <w:tcW w:type="dxa" w:w="4706"/>
          </w:tcPr>
          <w:p>
            <w:pPr>
              <w:spacing w:after="40"/>
            </w:pPr>
            <w:r>
              <w:rPr>
                <w:sz w:val="18"/>
              </w:rPr>
            </w:r>
            <w:r>
              <w:rPr>
                <w:sz w:val="18"/>
              </w:rPr>
              <w:t>Matched on which field</w:t>
            </w:r>
          </w:p>
        </w:tc>
        <w:tc>
          <w:tcPr>
            <w:tcW w:type="dxa" w:w="4706"/>
          </w:tcPr>
          <w:p>
            <w:pPr>
              <w:spacing w:after="40"/>
            </w:pPr>
            <w:r>
              <w:rPr>
                <w:sz w:val="18"/>
              </w:rPr>
            </w:r>
          </w:p>
        </w:tc>
      </w:tr>
      <w:tr>
        <w:tc>
          <w:tcPr>
            <w:tcW w:type="dxa" w:w="4706"/>
          </w:tcPr>
          <w:p>
            <w:pPr>
              <w:spacing w:after="40"/>
            </w:pPr>
            <w:r>
              <w:rPr>
                <w:sz w:val="18"/>
              </w:rPr>
            </w:r>
            <w:r>
              <w:rPr>
                <w:b/>
                <w:sz w:val="18"/>
              </w:rPr>
              <w:t>Where fees appear, and are they reconciled separately</w:t>
            </w:r>
          </w:p>
        </w:tc>
        <w:tc>
          <w:tcPr>
            <w:tcW w:type="dxa" w:w="4706"/>
          </w:tcPr>
          <w:p>
            <w:pPr>
              <w:spacing w:after="40"/>
            </w:pPr>
            <w:r>
              <w:rPr>
                <w:sz w:val="18"/>
              </w:rPr>
            </w:r>
          </w:p>
        </w:tc>
      </w:tr>
      <w:tr>
        <w:tc>
          <w:tcPr>
            <w:tcW w:type="dxa" w:w="4706"/>
          </w:tcPr>
          <w:p>
            <w:pPr>
              <w:spacing w:after="40"/>
            </w:pPr>
            <w:r>
              <w:rPr>
                <w:sz w:val="18"/>
              </w:rPr>
            </w:r>
            <w:r>
              <w:rPr>
                <w:sz w:val="18"/>
              </w:rPr>
              <w:t>Tolerance before a break is raised</w:t>
            </w:r>
          </w:p>
        </w:tc>
        <w:tc>
          <w:tcPr>
            <w:tcW w:type="dxa" w:w="4706"/>
          </w:tcPr>
          <w:p>
            <w:pPr>
              <w:spacing w:after="40"/>
            </w:pPr>
            <w:r>
              <w:rPr>
                <w:sz w:val="18"/>
              </w:rPr>
            </w:r>
          </w:p>
        </w:tc>
      </w:tr>
      <w:tr>
        <w:tc>
          <w:tcPr>
            <w:tcW w:type="dxa" w:w="4706"/>
          </w:tcPr>
          <w:p>
            <w:pPr>
              <w:spacing w:after="40"/>
            </w:pPr>
            <w:r>
              <w:rPr>
                <w:sz w:val="18"/>
              </w:rPr>
            </w:r>
            <w:r>
              <w:rPr>
                <w:b/>
                <w:sz w:val="18"/>
              </w:rPr>
              <w:t>Who investigates a break, within what time</w:t>
            </w:r>
          </w:p>
        </w:tc>
        <w:tc>
          <w:tcPr>
            <w:tcW w:type="dxa" w:w="4706"/>
          </w:tcPr>
          <w:p>
            <w:pPr>
              <w:spacing w:after="40"/>
            </w:pPr>
            <w:r>
              <w:rPr>
                <w:sz w:val="18"/>
              </w:rPr>
            </w:r>
          </w:p>
        </w:tc>
      </w:tr>
      <w:tr>
        <w:tc>
          <w:tcPr>
            <w:tcW w:type="dxa" w:w="4706"/>
          </w:tcPr>
          <w:p>
            <w:pPr>
              <w:spacing w:after="40"/>
            </w:pPr>
            <w:r>
              <w:rPr>
                <w:sz w:val="18"/>
              </w:rPr>
            </w:r>
            <w:r>
              <w:rPr>
                <w:sz w:val="18"/>
              </w:rPr>
              <w:t>Escalation if unresolved after</w:t>
            </w:r>
          </w:p>
        </w:tc>
        <w:tc>
          <w:tcPr>
            <w:tcW w:type="dxa" w:w="4706"/>
          </w:tcPr>
          <w:p>
            <w:pPr>
              <w:spacing w:after="40"/>
            </w:pPr>
            <w:r>
              <w:rPr>
                <w:sz w:val="18"/>
              </w:rPr>
            </w:r>
          </w:p>
        </w:tc>
      </w:tr>
    </w:tbl>
    <w:p>
      <w:pPr>
        <w:spacing w:after="40"/>
      </w:pPr>
    </w:p>
    <w:p>
      <w:r>
        <w:rPr>
          <w:b/>
        </w:rPr>
        <w:t>Match on your own reference, not on amount.</w:t>
      </w:r>
      <w:r>
        <w:t xml:space="preserve"> Duplicates are invisible in totals and obvious when grouped by order.</w:t>
      </w:r>
    </w:p>
    <w:p>
      <w:pPr>
        <w:pStyle w:val="Heading1"/>
      </w:pPr>
      <w:r>
        <w:t>8. Operations</w:t>
      </w:r>
    </w:p>
    <w:p>
      <w:pPr>
        <w:pStyle w:val="ListBullet"/>
      </w:pPr>
      <w:r>
        <w:t>[ ] Every provider call logged with our reference and their response</w:t>
      </w:r>
    </w:p>
    <w:p>
      <w:pPr>
        <w:pStyle w:val="ListBullet"/>
      </w:pPr>
      <w:r>
        <w:t>[ ] Support can see payment status and history without engineering</w:t>
      </w:r>
    </w:p>
    <w:p>
      <w:pPr>
        <w:pStyle w:val="ListBullet"/>
      </w:pPr>
      <w:r>
        <w:t xml:space="preserve">[ ] Support </w:t>
      </w:r>
      <w:r>
        <w:rPr>
          <w:b/>
        </w:rPr>
        <w:t>cannot</w:t>
      </w:r>
      <w:r>
        <w:t xml:space="preserve"> move money</w:t>
      </w:r>
    </w:p>
    <w:p>
      <w:pPr>
        <w:pStyle w:val="ListBullet"/>
      </w:pPr>
      <w:r>
        <w:t>[ ] Alert on: authorisation failure rate, timeout rate, reconciliation break age</w:t>
      </w:r>
    </w:p>
    <w:p>
      <w:pPr>
        <w:pStyle w:val="ListBullet"/>
      </w:pPr>
      <w:r>
        <w:t>[ ] Runbook for "customer says they were charged twice"</w:t>
      </w:r>
    </w:p>
    <w:p>
      <w:pPr>
        <w:pStyle w:val="ListBullet"/>
      </w:pPr>
      <w:r>
        <w:t>[ ] Provider status page monitored</w:t>
      </w:r>
    </w:p>
    <w:p>
      <w:pPr>
        <w:pStyle w:val="Heading1"/>
      </w:pPr>
      <w:r>
        <w:t>9. Before go-live</w:t>
      </w:r>
    </w:p>
    <w:p>
      <w:pPr>
        <w:pStyle w:val="ListBullet"/>
      </w:pPr>
      <w:r>
        <w:t xml:space="preserve">[ ] End-to-end test with real money, small amount, </w:t>
      </w:r>
      <w:r>
        <w:rPr>
          <w:b/>
        </w:rPr>
        <w:t>including a refund</w:t>
      </w:r>
    </w:p>
    <w:p>
      <w:pPr>
        <w:pStyle w:val="ListBullet"/>
      </w:pPr>
      <w:r>
        <w:t>[ ] Reconciliation run on that test and balanced</w:t>
      </w:r>
    </w:p>
    <w:p>
      <w:pPr>
        <w:pStyle w:val="ListBullet"/>
      </w:pPr>
      <w:r>
        <w:t>[ ] Duplicate submission tested, one authorisation resulted</w:t>
      </w:r>
    </w:p>
    <w:p>
      <w:pPr>
        <w:pStyle w:val="ListBullet"/>
      </w:pPr>
      <w:r>
        <w:t>[ ] Timeout simulated and resolved correctly</w:t>
      </w:r>
    </w:p>
    <w:p>
      <w:pPr>
        <w:pStyle w:val="ListBullet"/>
      </w:pPr>
      <w:r>
        <w:t>[ ] Ledger balanced after every test scenario</w:t>
      </w:r>
    </w:p>
    <w:p>
      <w:pPr>
        <w:pStyle w:val="ListBullet"/>
      </w:pPr>
      <w:r>
        <w:t>[ ] Rollback plan that does not strand customer funds</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Engineering</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Finance / ledger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Compliance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for live traffic</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Payment Provider Integration Specification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 Provider Integration Specification</dc:title>
  <dc:subject/>
  <dc:creator>BvLogic</dc:creator>
  <cp:keywords>BvLogic, Template, enterprise AI, Payment Provider Integration Specification</cp:keywords>
  <dc:description/>
  <cp:lastModifiedBy/>
  <cp:revision>1</cp:revision>
  <dcterms:created xsi:type="dcterms:W3CDTF">2013-12-23T23:15:00Z</dcterms:created>
  <dcterms:modified xsi:type="dcterms:W3CDTF">2013-12-23T23:15:00Z</dcterms:modified>
  <cp:category>Template</cp:category>
  <dc:language>en-GB</dc:language>
</cp:coreProperties>
</file>