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KIT</w:t>
      </w:r>
    </w:p>
    <w:p>
      <w:pPr>
        <w:spacing w:after="160"/>
      </w:pPr>
      <w:r>
        <w:rPr>
          <w:rFonts w:ascii="Georgia" w:hAnsi="Georgia"/>
          <w:b/>
          <w:color w:val="0F141A"/>
          <w:sz w:val="56"/>
        </w:rPr>
        <w:t>Fintech AI Report, 2026 edition — press kit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BVL-E6E93E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Kit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For journalists, analysts and anyone writing about this.</w:t>
      </w:r>
      <w:r>
        <w:t xml:space="preserve"> Everything here may be quoted and reproduced with attribution to BvLogic and a link to the report. No permission is needed and there is no form.</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Report</w:t>
            </w:r>
          </w:p>
        </w:tc>
        <w:tc>
          <w:tcPr>
            <w:tcW w:type="dxa" w:w="4706"/>
            <w:shd w:val="clear" w:color="auto" w:fill="F1EAFE"/>
          </w:tcPr>
          <w:p>
            <w:pPr>
              <w:spacing w:after="40"/>
            </w:pPr>
            <w:r>
              <w:rPr>
                <w:b/>
                <w:sz w:val="18"/>
              </w:rPr>
            </w:r>
            <w:r>
              <w:rPr>
                <w:b/>
                <w:color w:val="7C3AED"/>
                <w:sz w:val="18"/>
                <w:u w:val="single"/>
              </w:rPr>
              <w:t>FinTech AI Report 2026: The Fraud Paradox</w:t>
            </w:r>
          </w:p>
        </w:tc>
      </w:tr>
      <w:tr>
        <w:tc>
          <w:tcPr>
            <w:tcW w:type="dxa" w:w="4706"/>
          </w:tcPr>
          <w:p>
            <w:pPr>
              <w:spacing w:after="40"/>
            </w:pPr>
            <w:r>
              <w:rPr>
                <w:sz w:val="18"/>
              </w:rPr>
            </w:r>
            <w:r>
              <w:rPr>
                <w:sz w:val="18"/>
              </w:rPr>
              <w:t>Published</w:t>
            </w:r>
          </w:p>
        </w:tc>
        <w:tc>
          <w:tcPr>
            <w:tcW w:type="dxa" w:w="4706"/>
          </w:tcPr>
          <w:p>
            <w:pPr>
              <w:spacing w:after="40"/>
            </w:pPr>
            <w:r>
              <w:rPr>
                <w:sz w:val="18"/>
              </w:rPr>
            </w:r>
            <w:r>
              <w:rPr>
                <w:sz w:val="18"/>
              </w:rPr>
              <w:t>2026-08-04</w:t>
            </w:r>
          </w:p>
        </w:tc>
      </w:tr>
      <w:tr>
        <w:tc>
          <w:tcPr>
            <w:tcW w:type="dxa" w:w="4706"/>
          </w:tcPr>
          <w:p>
            <w:pPr>
              <w:spacing w:after="40"/>
            </w:pPr>
            <w:r>
              <w:rPr>
                <w:sz w:val="18"/>
              </w:rPr>
            </w:r>
            <w:r>
              <w:rPr>
                <w:sz w:val="18"/>
              </w:rPr>
              <w:t>Series</w:t>
            </w:r>
          </w:p>
        </w:tc>
        <w:tc>
          <w:tcPr>
            <w:tcW w:type="dxa" w:w="4706"/>
          </w:tcPr>
          <w:p>
            <w:pPr>
              <w:spacing w:after="40"/>
            </w:pPr>
            <w:r>
              <w:rPr>
                <w:sz w:val="18"/>
              </w:rPr>
            </w:r>
            <w:r>
              <w:rPr>
                <w:sz w:val="18"/>
              </w:rPr>
              <w:t>Fintech AI Report, Annual</w:t>
            </w:r>
          </w:p>
        </w:tc>
      </w:tr>
      <w:tr>
        <w:tc>
          <w:tcPr>
            <w:tcW w:type="dxa" w:w="4706"/>
          </w:tcPr>
          <w:p>
            <w:pPr>
              <w:spacing w:after="40"/>
            </w:pPr>
            <w:r>
              <w:rPr>
                <w:sz w:val="18"/>
              </w:rPr>
            </w:r>
            <w:r>
              <w:rPr>
                <w:sz w:val="18"/>
              </w:rPr>
              <w:t>Next edition</w:t>
            </w:r>
          </w:p>
        </w:tc>
        <w:tc>
          <w:tcPr>
            <w:tcW w:type="dxa" w:w="4706"/>
          </w:tcPr>
          <w:p>
            <w:pPr>
              <w:spacing w:after="40"/>
            </w:pPr>
            <w:r>
              <w:rPr>
                <w:sz w:val="18"/>
              </w:rPr>
            </w:r>
            <w:r>
              <w:rPr>
                <w:sz w:val="18"/>
              </w:rPr>
              <w:t>August 2027</w:t>
            </w:r>
          </w:p>
        </w:tc>
      </w:tr>
      <w:tr>
        <w:tc>
          <w:tcPr>
            <w:tcW w:type="dxa" w:w="4706"/>
          </w:tcPr>
          <w:p>
            <w:pPr>
              <w:spacing w:after="40"/>
            </w:pPr>
            <w:r>
              <w:rPr>
                <w:sz w:val="18"/>
              </w:rPr>
            </w:r>
            <w:r>
              <w:rPr>
                <w:sz w:val="18"/>
              </w:rPr>
              <w:t>Contact</w:t>
            </w:r>
          </w:p>
        </w:tc>
        <w:tc>
          <w:tcPr>
            <w:tcW w:type="dxa" w:w="4706"/>
          </w:tcPr>
          <w:p>
            <w:pPr>
              <w:spacing w:after="40"/>
            </w:pPr>
            <w:r>
              <w:rPr>
                <w:sz w:val="18"/>
              </w:rPr>
            </w:r>
            <w:r>
              <w:rPr>
                <w:sz w:val="18"/>
              </w:rPr>
              <w:t>hello@bvlogic.com</w:t>
            </w:r>
          </w:p>
        </w:tc>
      </w:tr>
    </w:tbl>
    <w:p>
      <w:pPr>
        <w:spacing w:after="40"/>
      </w:pPr>
    </w:p>
    <w:p>
      <w:pPr>
        <w:pStyle w:val="Heading1"/>
      </w:pPr>
      <w:r>
        <w:t>The findings, verbatim</w:t>
      </w:r>
    </w:p>
    <w:p>
      <w:pPr>
        <w:ind w:left="454"/>
        <w:shd w:val="clear" w:color="auto" w:fill="FAFAFB"/>
      </w:pPr>
      <w:r>
        <w:rPr>
          <w:i/>
        </w:rPr>
        <w:t>42.5% of all fraud attempts in financial services are now AI-driven, while only 22% of financial institutions have implemented AI-based fraud prevention.</w:t>
      </w:r>
    </w:p>
    <w:p>
      <w:pPr>
        <w:ind w:left="454"/>
        <w:shd w:val="clear" w:color="auto" w:fill="FAFAFB"/>
      </w:pPr>
      <w:r>
        <w:rPr>
          <w:i/>
        </w:rPr>
        <w:t>AI detects 30 to 50% more fraudulent transactions than traditional methods.</w:t>
      </w:r>
    </w:p>
    <w:p>
      <w:pPr>
        <w:ind w:left="454"/>
        <w:shd w:val="clear" w:color="auto" w:fill="FAFAFB"/>
      </w:pPr>
      <w:r>
        <w:rPr>
          <w:i/>
        </w:rPr>
        <w:t>Explainability is a hard requirement in this sector, not a preference, and the false-positive cost is immediate.</w:t>
      </w:r>
    </w:p>
    <w:p>
      <w:r>
        <w:t>Each of these is stated in the report with its source. If you want the working behind any of them, ask and we will send it.</w:t>
      </w:r>
    </w:p>
    <w:p>
      <w:pPr>
        <w:pStyle w:val="Heading1"/>
      </w:pPr>
      <w:r>
        <w:t>How to cite</w:t>
      </w:r>
    </w:p>
    <w:p>
      <w:pPr>
        <w:shd w:val="clear" w:color="auto" w:fill="F4F5F7"/>
      </w:pPr>
      <w:r>
        <w:rPr>
          <w:rFonts w:ascii="Consolas" w:hAnsi="Consolas"/>
          <w:sz w:val="18"/>
        </w:rPr>
        <w:t>Fintech AI Report, 2026 edition. BvLogic Research, 2026-08-04. https://bvlogic.com/research/fintech-ai/</w:t>
      </w:r>
    </w:p>
    <w:p>
      <w:r>
        <w:t>Every report here may be quoted, charted and reproduced, including commercially, with attribution to BvLogic and a link to the report page. No permission needed and no form to fill in. We would rather be cited widely than control the copy, and a citation policy that requires an email is a citation policy designed to fail.</w:t>
      </w:r>
    </w:p>
    <w:p>
      <w:pPr>
        <w:pStyle w:val="Heading1"/>
      </w:pPr>
      <w:r>
        <w:t>Method, stated plainly</w:t>
      </w:r>
    </w:p>
    <w:p>
      <w:r>
        <w:t>These are syntheses of published data, not primary survey research, and every report says so in its own words. Each figure carries its source and the date that source published it. Where sources disagree we show both rather than choosing the flattering one. Nothing here is modelled, extrapolated or estimated unless the report says it is and shows the working.</w:t>
      </w:r>
    </w:p>
    <w:p>
      <w:r>
        <w:t>If you are writing about this and a number looks weaker than we have presented it, tell us. We would rather correct a report than defend one.</w:t>
      </w:r>
    </w:p>
    <w:p>
      <w:pPr>
        <w:pStyle w:val="Heading1"/>
      </w:pPr>
      <w:r>
        <w:t>Underlying sources</w:t>
      </w:r>
    </w:p>
    <w:p>
      <w:pPr>
        <w:pStyle w:val="ListBullet"/>
      </w:pPr>
      <w:r>
        <w:rPr>
          <w:color w:val="7C3AED"/>
          <w:u w:val="single"/>
        </w:rPr>
        <w:t>2026 Global AI in Financial Services Report, Cambridge Centre for Alternative Finance</w:t>
      </w:r>
    </w:p>
    <w:p>
      <w:pPr>
        <w:pStyle w:val="ListBullet"/>
      </w:pPr>
      <w:r>
        <w:rPr>
          <w:color w:val="7C3AED"/>
          <w:u w:val="single"/>
        </w:rPr>
        <w:t>Experian uncovers fraud paradox in financial services' AI adoption</w:t>
      </w:r>
    </w:p>
    <w:p>
      <w:pPr>
        <w:pStyle w:val="ListBullet"/>
      </w:pPr>
      <w:r>
        <w:rPr>
          <w:color w:val="7C3AED"/>
          <w:u w:val="single"/>
        </w:rPr>
        <w:t>AI in Banking Statistics 2026, Axis Intelligence</w:t>
      </w:r>
    </w:p>
    <w:p>
      <w:pPr>
        <w:pStyle w:val="ListBullet"/>
      </w:pPr>
      <w:r>
        <w:rPr>
          <w:color w:val="7C3AED"/>
          <w:u w:val="single"/>
        </w:rPr>
        <w:t>AI Fraud Detection in Banking 2026, Emburse</w:t>
      </w:r>
    </w:p>
    <w:p>
      <w:pPr>
        <w:pStyle w:val="ListBullet"/>
      </w:pPr>
      <w:r>
        <w:rPr>
          <w:color w:val="7C3AED"/>
          <w:u w:val="single"/>
        </w:rPr>
        <w:t>Banking on AI, ABA Banking Journal</w:t>
      </w:r>
    </w:p>
    <w:p>
      <w:pPr>
        <w:pStyle w:val="Heading1"/>
      </w:pPr>
      <w:r>
        <w:t>About BvLogic</w:t>
      </w:r>
    </w:p>
    <w:p>
      <w:r>
        <w:t>BvLogic Solutions LLC builds AI, cloud, data and security systems for enterprises, and publishes the architecture, testing and governance material behind them. Headquartered in Dubai, working across the Gulf, Europe and North America. https://bvlogic.com</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Fintech AI Report, 2026 edition — press kit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Fintech AI Report, 2026 edition — press kit</dc:title>
  <dc:subject/>
  <dc:creator>BvLogic</dc:creator>
  <cp:keywords>BvLogic, Kit, enterprise AI, Fintech AI Report, 2026 edition — press kit</cp:keywords>
  <dc:description/>
  <cp:lastModifiedBy/>
  <cp:revision>1</cp:revision>
  <dcterms:created xsi:type="dcterms:W3CDTF">2013-12-23T23:15:00Z</dcterms:created>
  <dcterms:modified xsi:type="dcterms:W3CDTF">2013-12-23T23:15:00Z</dcterms:modified>
  <cp:category>Kit</cp:category>
  <dc:language>en-GB</dc:language>
</cp:coreProperties>
</file>