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Finance: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BVL-8822E4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Sales</w:t>
            </w:r>
          </w:p>
        </w:tc>
        <w:tc>
          <w:tcPr>
            <w:tcW w:type="dxa" w:w="3137"/>
          </w:tcPr>
          <w:p>
            <w:pPr>
              <w:spacing w:after="40"/>
            </w:pPr>
            <w:r>
              <w:rPr>
                <w:sz w:val="18"/>
              </w:rPr>
            </w:r>
            <w:r>
              <w:rPr>
                <w:sz w:val="18"/>
              </w:rPr>
              <w:t>Signed contracts and pipeline</w:t>
            </w:r>
          </w:p>
        </w:tc>
        <w:tc>
          <w:tcPr>
            <w:tcW w:type="dxa" w:w="3137"/>
          </w:tcPr>
          <w:p>
            <w:pPr>
              <w:spacing w:after="40"/>
            </w:pPr>
            <w:r>
              <w:rPr>
                <w:sz w:val="18"/>
              </w:rPr>
            </w:r>
            <w:r>
              <w:rPr>
                <w:sz w:val="18"/>
              </w:rPr>
              <w:t>Revenue forecast, and the commitments we now owe</w:t>
            </w:r>
          </w:p>
        </w:tc>
      </w:tr>
      <w:tr>
        <w:tc>
          <w:tcPr>
            <w:tcW w:type="dxa" w:w="3137"/>
          </w:tcPr>
          <w:p>
            <w:pPr>
              <w:spacing w:after="40"/>
            </w:pPr>
            <w:r>
              <w:rPr>
                <w:sz w:val="18"/>
              </w:rPr>
            </w:r>
            <w:r>
              <w:rPr>
                <w:sz w:val="18"/>
              </w:rPr>
              <w:t>PMO</w:t>
            </w:r>
          </w:p>
        </w:tc>
        <w:tc>
          <w:tcPr>
            <w:tcW w:type="dxa" w:w="3137"/>
          </w:tcPr>
          <w:p>
            <w:pPr>
              <w:spacing w:after="40"/>
            </w:pPr>
            <w:r>
              <w:rPr>
                <w:sz w:val="18"/>
              </w:rPr>
            </w:r>
            <w:r>
              <w:rPr>
                <w:sz w:val="18"/>
              </w:rPr>
              <w:t>Project progress and effort</w:t>
            </w:r>
          </w:p>
        </w:tc>
        <w:tc>
          <w:tcPr>
            <w:tcW w:type="dxa" w:w="3137"/>
          </w:tcPr>
          <w:p>
            <w:pPr>
              <w:spacing w:after="40"/>
            </w:pPr>
            <w:r>
              <w:rPr>
                <w:sz w:val="18"/>
              </w:rPr>
            </w:r>
            <w:r>
              <w:rPr>
                <w:sz w:val="18"/>
              </w:rPr>
              <w:t>Project cost, and margin</w:t>
            </w:r>
          </w:p>
        </w:tc>
      </w:tr>
      <w:tr>
        <w:tc>
          <w:tcPr>
            <w:tcW w:type="dxa" w:w="3137"/>
          </w:tcPr>
          <w:p>
            <w:pPr>
              <w:spacing w:after="40"/>
            </w:pPr>
            <w:r>
              <w:rPr>
                <w:sz w:val="18"/>
              </w:rPr>
            </w:r>
            <w:r>
              <w:rPr>
                <w:sz w:val="18"/>
              </w:rPr>
              <w:t>DevOps</w:t>
            </w:r>
          </w:p>
        </w:tc>
        <w:tc>
          <w:tcPr>
            <w:tcW w:type="dxa" w:w="3137"/>
          </w:tcPr>
          <w:p>
            <w:pPr>
              <w:spacing w:after="40"/>
            </w:pPr>
            <w:r>
              <w:rPr>
                <w:sz w:val="18"/>
              </w:rPr>
            </w:r>
            <w:r>
              <w:rPr>
                <w:sz w:val="18"/>
              </w:rPr>
              <w:t>Cloud and infrastructure spend</w:t>
            </w:r>
          </w:p>
        </w:tc>
        <w:tc>
          <w:tcPr>
            <w:tcW w:type="dxa" w:w="3137"/>
          </w:tcPr>
          <w:p>
            <w:pPr>
              <w:spacing w:after="40"/>
            </w:pPr>
            <w:r>
              <w:rPr>
                <w:sz w:val="18"/>
              </w:rPr>
            </w:r>
            <w:r>
              <w:rPr>
                <w:sz w:val="18"/>
              </w:rPr>
              <w:t>The fastest-moving cost line in most technology companies</w:t>
            </w:r>
          </w:p>
        </w:tc>
      </w:tr>
      <w:tr>
        <w:tc>
          <w:tcPr>
            <w:tcW w:type="dxa" w:w="3137"/>
          </w:tcPr>
          <w:p>
            <w:pPr>
              <w:spacing w:after="40"/>
            </w:pPr>
            <w:r>
              <w:rPr>
                <w:sz w:val="18"/>
              </w:rPr>
            </w:r>
            <w:r>
              <w:rPr>
                <w:sz w:val="18"/>
              </w:rPr>
              <w:t>HR</w:t>
            </w:r>
          </w:p>
        </w:tc>
        <w:tc>
          <w:tcPr>
            <w:tcW w:type="dxa" w:w="3137"/>
          </w:tcPr>
          <w:p>
            <w:pPr>
              <w:spacing w:after="40"/>
            </w:pPr>
            <w:r>
              <w:rPr>
                <w:sz w:val="18"/>
              </w:rPr>
            </w:r>
            <w:r>
              <w:rPr>
                <w:sz w:val="18"/>
              </w:rPr>
              <w:t>Headcount and payroll</w:t>
            </w:r>
          </w:p>
        </w:tc>
        <w:tc>
          <w:tcPr>
            <w:tcW w:type="dxa" w:w="3137"/>
          </w:tcPr>
          <w:p>
            <w:pPr>
              <w:spacing w:after="40"/>
            </w:pPr>
            <w:r>
              <w:rPr>
                <w:sz w:val="18"/>
              </w:rPr>
            </w:r>
            <w:r>
              <w:rPr>
                <w:sz w:val="18"/>
              </w:rPr>
              <w:t>The largest and most predictable cost</w:t>
            </w:r>
          </w:p>
        </w:tc>
      </w:tr>
      <w:tr>
        <w:tc>
          <w:tcPr>
            <w:tcW w:type="dxa" w:w="3137"/>
          </w:tcPr>
          <w:p>
            <w:pPr>
              <w:spacing w:after="40"/>
            </w:pPr>
            <w:r>
              <w:rPr>
                <w:sz w:val="18"/>
              </w:rPr>
            </w:r>
            <w:r>
              <w:rPr>
                <w:sz w:val="18"/>
              </w:rPr>
              <w:t>Suppliers</w:t>
            </w:r>
          </w:p>
        </w:tc>
        <w:tc>
          <w:tcPr>
            <w:tcW w:type="dxa" w:w="3137"/>
          </w:tcPr>
          <w:p>
            <w:pPr>
              <w:spacing w:after="40"/>
            </w:pPr>
            <w:r>
              <w:rPr>
                <w:sz w:val="18"/>
              </w:rPr>
            </w:r>
            <w:r>
              <w:rPr>
                <w:sz w:val="18"/>
              </w:rPr>
              <w:t>Invoices</w:t>
            </w:r>
          </w:p>
        </w:tc>
        <w:tc>
          <w:tcPr>
            <w:tcW w:type="dxa" w:w="3137"/>
          </w:tcPr>
          <w:p>
            <w:pPr>
              <w:spacing w:after="40"/>
            </w:pPr>
            <w:r>
              <w:rPr>
                <w:sz w:val="18"/>
              </w:rPr>
            </w:r>
            <w:r>
              <w:rPr>
                <w:sz w:val="18"/>
              </w:rPr>
              <w:t>A three-way match, then a human approval</w:t>
            </w:r>
          </w:p>
        </w:tc>
      </w:tr>
      <w:tr>
        <w:tc>
          <w:tcPr>
            <w:tcW w:type="dxa" w:w="3137"/>
          </w:tcPr>
          <w:p>
            <w:pPr>
              <w:spacing w:after="40"/>
            </w:pPr>
            <w:r>
              <w:rPr>
                <w:sz w:val="18"/>
              </w:rPr>
            </w:r>
            <w:r>
              <w:rPr>
                <w:sz w:val="18"/>
              </w:rPr>
              <w:t>Legal</w:t>
            </w:r>
          </w:p>
        </w:tc>
        <w:tc>
          <w:tcPr>
            <w:tcW w:type="dxa" w:w="3137"/>
          </w:tcPr>
          <w:p>
            <w:pPr>
              <w:spacing w:after="40"/>
            </w:pPr>
            <w:r>
              <w:rPr>
                <w:sz w:val="18"/>
              </w:rPr>
            </w:r>
            <w:r>
              <w:rPr>
                <w:sz w:val="18"/>
              </w:rPr>
              <w:t>Contractual obligations</w:t>
            </w:r>
          </w:p>
        </w:tc>
        <w:tc>
          <w:tcPr>
            <w:tcW w:type="dxa" w:w="3137"/>
          </w:tcPr>
          <w:p>
            <w:pPr>
              <w:spacing w:after="40"/>
            </w:pPr>
            <w:r>
              <w:rPr>
                <w:sz w:val="18"/>
              </w:rPr>
            </w:r>
            <w:r>
              <w:rPr>
                <w:b/>
                <w:sz w:val="18"/>
              </w:rPr>
              <w:t>Committed but unspent</w:t>
            </w:r>
            <w:r>
              <w:rPr>
                <w:sz w:val="18"/>
              </w:rPr>
              <w:t>, which is the missing term in most runway calculations</w:t>
            </w:r>
          </w:p>
        </w:tc>
      </w:tr>
    </w:tbl>
    <w:p>
      <w:pPr>
        <w:spacing w:after="40"/>
      </w:pPr>
    </w:p>
    <w:p>
      <w:r>
        <w:rPr>
          <w:b/>
        </w:rPr>
        <w:t>The Legal row is the one that gets forgotten</w:t>
      </w:r>
      <w:r>
        <w:t>, and it is why runway is routinely overstated. A signed three-year commitment is not a future cost, it is a present obligation that has not yet moved through the bank.</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CEO</w:t>
            </w:r>
          </w:p>
        </w:tc>
        <w:tc>
          <w:tcPr>
            <w:tcW w:type="dxa" w:w="4706"/>
          </w:tcPr>
          <w:p>
            <w:pPr>
              <w:spacing w:after="40"/>
            </w:pPr>
            <w:r>
              <w:rPr>
                <w:sz w:val="18"/>
              </w:rPr>
            </w:r>
            <w:r>
              <w:rPr>
                <w:sz w:val="18"/>
              </w:rPr>
              <w:t>Runway, margin, forecast, and the three questions answered</w:t>
            </w:r>
          </w:p>
        </w:tc>
      </w:tr>
      <w:tr>
        <w:tc>
          <w:tcPr>
            <w:tcW w:type="dxa" w:w="4706"/>
          </w:tcPr>
          <w:p>
            <w:pPr>
              <w:spacing w:after="40"/>
            </w:pPr>
            <w:r>
              <w:rPr>
                <w:sz w:val="18"/>
              </w:rPr>
            </w:r>
            <w:r>
              <w:rPr>
                <w:sz w:val="18"/>
              </w:rPr>
              <w:t>PMO</w:t>
            </w:r>
          </w:p>
        </w:tc>
        <w:tc>
          <w:tcPr>
            <w:tcW w:type="dxa" w:w="4706"/>
          </w:tcPr>
          <w:p>
            <w:pPr>
              <w:spacing w:after="40"/>
            </w:pPr>
            <w:r>
              <w:rPr>
                <w:sz w:val="18"/>
              </w:rPr>
            </w:r>
            <w:r>
              <w:rPr>
                <w:sz w:val="18"/>
              </w:rPr>
              <w:t>Project margin, monthly rather than at closure</w:t>
            </w:r>
          </w:p>
        </w:tc>
      </w:tr>
      <w:tr>
        <w:tc>
          <w:tcPr>
            <w:tcW w:type="dxa" w:w="4706"/>
          </w:tcPr>
          <w:p>
            <w:pPr>
              <w:spacing w:after="40"/>
            </w:pPr>
            <w:r>
              <w:rPr>
                <w:sz w:val="18"/>
              </w:rPr>
            </w:r>
            <w:r>
              <w:rPr>
                <w:sz w:val="18"/>
              </w:rPr>
              <w:t>Every function</w:t>
            </w:r>
          </w:p>
        </w:tc>
        <w:tc>
          <w:tcPr>
            <w:tcW w:type="dxa" w:w="4706"/>
          </w:tcPr>
          <w:p>
            <w:pPr>
              <w:spacing w:after="40"/>
            </w:pPr>
            <w:r>
              <w:rPr>
                <w:sz w:val="18"/>
              </w:rPr>
            </w:r>
            <w:r>
              <w:rPr>
                <w:sz w:val="18"/>
              </w:rPr>
              <w:t>Budget, and where they are against it</w:t>
            </w:r>
          </w:p>
        </w:tc>
      </w:tr>
      <w:tr>
        <w:tc>
          <w:tcPr>
            <w:tcW w:type="dxa" w:w="4706"/>
          </w:tcPr>
          <w:p>
            <w:pPr>
              <w:spacing w:after="40"/>
            </w:pPr>
            <w:r>
              <w:rPr>
                <w:sz w:val="18"/>
              </w:rPr>
            </w:r>
            <w:r>
              <w:rPr>
                <w:sz w:val="18"/>
              </w:rPr>
              <w:t>Sales</w:t>
            </w:r>
          </w:p>
        </w:tc>
        <w:tc>
          <w:tcPr>
            <w:tcW w:type="dxa" w:w="4706"/>
          </w:tcPr>
          <w:p>
            <w:pPr>
              <w:spacing w:after="40"/>
            </w:pPr>
            <w:r>
              <w:rPr>
                <w:sz w:val="18"/>
              </w:rPr>
            </w:r>
            <w:r>
              <w:rPr>
                <w:sz w:val="18"/>
              </w:rPr>
              <w:t>Pricing floors and the discount band</w:t>
            </w:r>
          </w:p>
        </w:tc>
      </w:tr>
      <w:tr>
        <w:tc>
          <w:tcPr>
            <w:tcW w:type="dxa" w:w="4706"/>
          </w:tcPr>
          <w:p>
            <w:pPr>
              <w:spacing w:after="40"/>
            </w:pPr>
            <w:r>
              <w:rPr>
                <w:sz w:val="18"/>
              </w:rPr>
            </w:r>
            <w:r>
              <w:rPr>
                <w:sz w:val="18"/>
              </w:rPr>
              <w:t>DevOps</w:t>
            </w:r>
          </w:p>
        </w:tc>
        <w:tc>
          <w:tcPr>
            <w:tcW w:type="dxa" w:w="4706"/>
          </w:tcPr>
          <w:p>
            <w:pPr>
              <w:spacing w:after="40"/>
            </w:pPr>
            <w:r>
              <w:rPr>
                <w:sz w:val="18"/>
              </w:rPr>
            </w:r>
            <w:r>
              <w:rPr>
                <w:sz w:val="18"/>
              </w:rPr>
              <w:t>The scaling ceiling, which is what makes automated scaling safe</w:t>
            </w:r>
          </w:p>
        </w:tc>
      </w:tr>
      <w:tr>
        <w:tc>
          <w:tcPr>
            <w:tcW w:type="dxa" w:w="4706"/>
          </w:tcPr>
          <w:p>
            <w:pPr>
              <w:spacing w:after="40"/>
            </w:pPr>
            <w:r>
              <w:rPr>
                <w:sz w:val="18"/>
              </w:rPr>
            </w:r>
            <w:r>
              <w:rPr>
                <w:sz w:val="18"/>
              </w:rPr>
              <w:t>Suppliers</w:t>
            </w:r>
          </w:p>
        </w:tc>
        <w:tc>
          <w:tcPr>
            <w:tcW w:type="dxa" w:w="4706"/>
          </w:tcPr>
          <w:p>
            <w:pPr>
              <w:spacing w:after="40"/>
            </w:pPr>
            <w:r>
              <w:rPr>
                <w:sz w:val="18"/>
              </w:rPr>
            </w:r>
            <w:r>
              <w:rPr>
                <w:sz w:val="18"/>
              </w:rPr>
              <w:t>Payment, on time</w:t>
            </w:r>
          </w:p>
        </w:tc>
      </w:tr>
    </w:tbl>
    <w:p>
      <w:pPr>
        <w:spacing w:after="40"/>
      </w:pPr>
    </w:p>
    <w:p>
      <w:pPr>
        <w:pStyle w:val="Heading1"/>
      </w:pPr>
      <w:r>
        <w:t>The two paths</w:t>
      </w:r>
    </w:p>
    <w:p>
      <w:pPr>
        <w:shd w:val="clear" w:color="auto" w:fill="F4F5F7"/>
      </w:pPr>
      <w:r>
        <w:rPr>
          <w:rFonts w:ascii="Consolas" w:hAnsi="Consolas"/>
          <w:sz w:val="18"/>
        </w:rPr>
        <w:t>{</w:t>
        <w:br/>
        <w:t xml:space="preserve">  "title": "Money out, and truth up",</w:t>
        <w:br/>
        <w:t xml:space="preserve">  "caption": "The payment path is deliberately slower than it could be. Fraud targets whichever step lacks a person, and the release step is where that matters most.",</w:t>
        <w:br/>
        <w:t xml:space="preserve">  "lanes": [</w:t>
        <w:br/>
        <w:t xml:space="preserve">    { "label": "Money out", "arrows": true, "nodes": [</w:t>
        <w:br/>
        <w:t xml:space="preserve">      { "label": "Invoice" },</w:t>
        <w:br/>
        <w:t xml:space="preserve">      { "label": "Auto match" },</w:t>
        <w:br/>
        <w:t xml:space="preserve">      { "label": "Human approves" },</w:t>
        <w:br/>
        <w:t xml:space="preserve">      { "label": "Second approval" },</w:t>
        <w:br/>
        <w:t xml:space="preserve">      { "label": "Person releases" } ] },</w:t>
        <w:br/>
        <w:t xml:space="preserve">    { "label": "Truth up", "arrows": true, "nodes": [</w:t>
        <w:br/>
        <w:t xml:space="preserve">      { "label": "Costs and revenue" },</w:t>
        <w:br/>
        <w:t xml:space="preserve">      { "label": "Margin and forecast" },</w:t>
        <w:br/>
        <w:t xml:space="preserve">      { "label": "Runway with commitments" } ] }</w:t>
        <w:br/>
        <w:t xml:space="preserve">  ]</w:t>
        <w:br/>
        <w:t>}</w:t>
      </w:r>
    </w:p>
    <w:p>
      <w:pPr>
        <w:pStyle w:val="Heading1"/>
      </w:pPr>
      <w:r>
        <w:t>Handoff contracts</w:t>
      </w:r>
    </w:p>
    <w:p>
      <w:r>
        <w:rPr>
          <w:b/>
        </w:rPr>
        <w:t>With Sales.</w:t>
      </w:r>
      <w:r>
        <w:t xml:space="preserve"> Finance sets the discount band and the pricing floor; inside it, sellers decide without asking. A band nobody knows produces either constant escalation or quiet breaches.</w:t>
      </w:r>
    </w:p>
    <w:p>
      <w:r>
        <w:rPr>
          <w:b/>
        </w:rPr>
        <w:t>With the PMO.</w:t>
      </w:r>
      <w:r>
        <w:t xml:space="preserve"> Project margin monthly, not at closure. A losing project spotted in month two can be renegotiated, rescoped or stopped. The same project at closure is only a lesson.</w:t>
      </w:r>
    </w:p>
    <w:p>
      <w:r>
        <w:rPr>
          <w:b/>
        </w:rPr>
        <w:t>With DevOps.</w:t>
      </w:r>
      <w:r>
        <w:t xml:space="preserve"> Finance sets the automated scaling ceiling. This is what makes automated scaling safe: an agent may spend freely below a number a person chose, and never above it.</w:t>
      </w:r>
    </w:p>
    <w:p>
      <w:r>
        <w:rPr>
          <w:b/>
        </w:rPr>
        <w:t>With HR.</w:t>
      </w:r>
      <w:r>
        <w:t xml:space="preserve"> Headcount is the largest cost and the least reversible. Any change goes through both functions, and hiring plans are costed before they are announced.</w:t>
      </w:r>
    </w:p>
    <w:p>
      <w:r>
        <w:rPr>
          <w:b/>
        </w:rPr>
        <w:t>With Legal.</w:t>
      </w:r>
      <w:r>
        <w:t xml:space="preserve"> Every signed obligation becomes a committed-spend line the day it is signed rather than the day it is invoiced.</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Cash, receivables ageing, anomalies</w:t>
            </w:r>
          </w:p>
        </w:tc>
      </w:tr>
      <w:tr>
        <w:tc>
          <w:tcPr>
            <w:tcW w:type="dxa" w:w="4706"/>
          </w:tcPr>
          <w:p>
            <w:pPr>
              <w:spacing w:after="40"/>
            </w:pPr>
            <w:r>
              <w:rPr>
                <w:sz w:val="18"/>
              </w:rPr>
            </w:r>
            <w:r>
              <w:rPr>
                <w:sz w:val="18"/>
              </w:rPr>
              <w:t>Per cycle</w:t>
            </w:r>
          </w:p>
        </w:tc>
        <w:tc>
          <w:tcPr>
            <w:tcW w:type="dxa" w:w="4706"/>
          </w:tcPr>
          <w:p>
            <w:pPr>
              <w:spacing w:after="40"/>
            </w:pPr>
            <w:r>
              <w:rPr>
                <w:sz w:val="18"/>
              </w:rPr>
            </w:r>
            <w:r>
              <w:rPr>
                <w:sz w:val="18"/>
              </w:rPr>
              <w:t>Payment run, with its two approvals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Close, project margins, runway including commitments, control checks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Forecast recalibration, pricing review</w:t>
            </w:r>
          </w:p>
        </w:tc>
      </w:tr>
    </w:tbl>
    <w:p>
      <w:pPr>
        <w:spacing w:after="40"/>
      </w:pPr>
    </w:p>
    <w:p>
      <w:pPr>
        <w:pStyle w:val="Heading1"/>
      </w:pPr>
      <w:r>
        <w:t>The failure this design is built against</w:t>
      </w:r>
    </w:p>
    <w:p>
      <w:r>
        <w:t>Two, and only one of them is dramatic.</w:t>
      </w:r>
    </w:p>
    <w:p>
      <w:r>
        <w:t>The dramatic one is an automated payment path that a well-written email can aim at an attacker's account. That is what the release-by-a-person rule and the out-of-band bank verification exist for.</w:t>
      </w:r>
    </w:p>
    <w:p>
      <w:r>
        <w:t>The quiet one is a company that is profitable on paper and runs out of cash, because runway was calculated without commitments, a project was losing money for five months before anyone measured it, and collections were forecast at terms rather than at the rate customers actually pay.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Finance: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how work moves</dc:title>
  <dc:subject/>
  <dc:creator>BvLogic</dc:creator>
  <cp:keywords>BvLogic, Workflow, enterprise AI, Finance: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