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Finance: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BVL-531490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The payment run</w:t>
      </w:r>
    </w:p>
    <w:p>
      <w:r>
        <w:rPr>
          <w:b/>
        </w:rPr>
        <w:t>Run:</w:t>
      </w:r>
      <w:r>
        <w:t xml:space="preserve"> per cycle.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Step</w:t>
            </w:r>
          </w:p>
        </w:tc>
        <w:tc>
          <w:tcPr>
            <w:tcW w:type="dxa" w:w="4706"/>
            <w:shd w:val="clear" w:color="auto" w:fill="F1EAFE"/>
          </w:tcPr>
          <w:p>
            <w:pPr>
              <w:spacing w:after="40"/>
            </w:pPr>
            <w:r>
              <w:rPr>
                <w:b/>
                <w:sz w:val="18"/>
              </w:rPr>
            </w:r>
            <w:r>
              <w:rPr>
                <w:b/>
                <w:sz w:val="18"/>
              </w:rPr>
              <w:t>Rule</w:t>
            </w:r>
          </w:p>
        </w:tc>
      </w:tr>
      <w:tr>
        <w:tc>
          <w:tcPr>
            <w:tcW w:type="dxa" w:w="4706"/>
          </w:tcPr>
          <w:p>
            <w:pPr>
              <w:spacing w:after="40"/>
            </w:pPr>
            <w:r>
              <w:rPr>
                <w:sz w:val="18"/>
              </w:rPr>
            </w:r>
            <w:r>
              <w:rPr>
                <w:sz w:val="18"/>
              </w:rPr>
              <w:t>Prepare</w:t>
            </w:r>
          </w:p>
        </w:tc>
        <w:tc>
          <w:tcPr>
            <w:tcW w:type="dxa" w:w="4706"/>
          </w:tcPr>
          <w:p>
            <w:pPr>
              <w:spacing w:after="40"/>
            </w:pPr>
            <w:r>
              <w:rPr>
                <w:sz w:val="18"/>
              </w:rPr>
            </w:r>
            <w:r>
              <w:rPr>
                <w:sz w:val="18"/>
              </w:rPr>
              <w:t>Automated: extract, three-way match, code, flag exceptions</w:t>
            </w:r>
          </w:p>
        </w:tc>
      </w:tr>
      <w:tr>
        <w:tc>
          <w:tcPr>
            <w:tcW w:type="dxa" w:w="4706"/>
          </w:tcPr>
          <w:p>
            <w:pPr>
              <w:spacing w:after="40"/>
            </w:pPr>
            <w:r>
              <w:rPr>
                <w:sz w:val="18"/>
              </w:rPr>
            </w:r>
            <w:r>
              <w:rPr>
                <w:sz w:val="18"/>
              </w:rPr>
              <w:t>Review exceptions</w:t>
            </w:r>
          </w:p>
        </w:tc>
        <w:tc>
          <w:tcPr>
            <w:tcW w:type="dxa" w:w="4706"/>
          </w:tcPr>
          <w:p>
            <w:pPr>
              <w:spacing w:after="40"/>
            </w:pPr>
            <w:r>
              <w:rPr>
                <w:sz w:val="18"/>
              </w:rPr>
            </w:r>
            <w:r>
              <w:rPr>
                <w:sz w:val="18"/>
              </w:rPr>
              <w:t>A person. Every flag, not a sample</w:t>
            </w:r>
          </w:p>
        </w:tc>
      </w:tr>
      <w:tr>
        <w:tc>
          <w:tcPr>
            <w:tcW w:type="dxa" w:w="4706"/>
          </w:tcPr>
          <w:p>
            <w:pPr>
              <w:spacing w:after="40"/>
            </w:pPr>
            <w:r>
              <w:rPr>
                <w:sz w:val="18"/>
              </w:rPr>
            </w:r>
            <w:r>
              <w:rPr>
                <w:sz w:val="18"/>
              </w:rPr>
              <w:t>Approve</w:t>
            </w:r>
          </w:p>
        </w:tc>
        <w:tc>
          <w:tcPr>
            <w:tcW w:type="dxa" w:w="4706"/>
          </w:tcPr>
          <w:p>
            <w:pPr>
              <w:spacing w:after="40"/>
            </w:pPr>
            <w:r>
              <w:rPr>
                <w:sz w:val="18"/>
              </w:rPr>
            </w:r>
            <w:r>
              <w:rPr>
                <w:sz w:val="18"/>
              </w:rPr>
              <w:t>A person with authority for the amount</w:t>
            </w:r>
          </w:p>
        </w:tc>
      </w:tr>
      <w:tr>
        <w:tc>
          <w:tcPr>
            <w:tcW w:type="dxa" w:w="4706"/>
          </w:tcPr>
          <w:p>
            <w:pPr>
              <w:spacing w:after="40"/>
            </w:pPr>
            <w:r>
              <w:rPr>
                <w:sz w:val="18"/>
              </w:rPr>
            </w:r>
            <w:r>
              <w:rPr>
                <w:b/>
                <w:sz w:val="18"/>
              </w:rPr>
              <w:t>Second approval above threshold</w:t>
            </w:r>
          </w:p>
        </w:tc>
        <w:tc>
          <w:tcPr>
            <w:tcW w:type="dxa" w:w="4706"/>
          </w:tcPr>
          <w:p>
            <w:pPr>
              <w:spacing w:after="40"/>
            </w:pPr>
            <w:r>
              <w:rPr>
                <w:sz w:val="18"/>
              </w:rPr>
            </w:r>
            <w:r>
              <w:rPr>
                <w:b/>
                <w:sz w:val="18"/>
              </w:rPr>
              <w:t>A different person.</w:t>
            </w:r>
            <w:r>
              <w:rPr>
                <w:sz w:val="18"/>
              </w:rPr>
              <w:t xml:space="preserve"> Not the preparer, not the requester</w:t>
            </w:r>
          </w:p>
        </w:tc>
      </w:tr>
      <w:tr>
        <w:tc>
          <w:tcPr>
            <w:tcW w:type="dxa" w:w="4706"/>
          </w:tcPr>
          <w:p>
            <w:pPr>
              <w:spacing w:after="40"/>
            </w:pPr>
            <w:r>
              <w:rPr>
                <w:sz w:val="18"/>
              </w:rPr>
            </w:r>
            <w:r>
              <w:rPr>
                <w:sz w:val="18"/>
              </w:rPr>
              <w:t>Release</w:t>
            </w:r>
          </w:p>
        </w:tc>
        <w:tc>
          <w:tcPr>
            <w:tcW w:type="dxa" w:w="4706"/>
          </w:tcPr>
          <w:p>
            <w:pPr>
              <w:spacing w:after="40"/>
            </w:pPr>
            <w:r>
              <w:rPr>
                <w:sz w:val="18"/>
              </w:rPr>
            </w:r>
            <w:r>
              <w:rPr>
                <w:sz w:val="18"/>
              </w:rPr>
              <w:t xml:space="preserve">A person. </w:t>
            </w:r>
            <w:r>
              <w:rPr>
                <w:b/>
                <w:sz w:val="18"/>
              </w:rPr>
              <w:t>Never automated, at any amount</w:t>
            </w:r>
          </w:p>
        </w:tc>
      </w:tr>
      <w:tr>
        <w:tc>
          <w:tcPr>
            <w:tcW w:type="dxa" w:w="4706"/>
          </w:tcPr>
          <w:p>
            <w:pPr>
              <w:spacing w:after="40"/>
            </w:pPr>
            <w:r>
              <w:rPr>
                <w:sz w:val="18"/>
              </w:rPr>
            </w:r>
            <w:r>
              <w:rPr>
                <w:sz w:val="18"/>
              </w:rPr>
              <w:t>Reconcile</w:t>
            </w:r>
          </w:p>
        </w:tc>
        <w:tc>
          <w:tcPr>
            <w:tcW w:type="dxa" w:w="4706"/>
          </w:tcPr>
          <w:p>
            <w:pPr>
              <w:spacing w:after="40"/>
            </w:pPr>
            <w:r>
              <w:rPr>
                <w:sz w:val="18"/>
              </w:rPr>
            </w:r>
            <w:r>
              <w:rPr>
                <w:sz w:val="18"/>
              </w:rPr>
              <w:t>Automated, reported to a person</w:t>
            </w:r>
          </w:p>
        </w:tc>
      </w:tr>
    </w:tbl>
    <w:p>
      <w:pPr>
        <w:spacing w:after="40"/>
      </w:pPr>
    </w:p>
    <w:p>
      <w:r>
        <w:rPr>
          <w:b/>
        </w:rPr>
        <w:t>The two-person rule is old, unglamorous and still the most effective financial control ever devised.</w:t>
      </w:r>
      <w:r>
        <w:t xml:space="preserve"> Every automated-payment fraud case works by removing one of the two people, usually through urgency.</w:t>
      </w:r>
    </w:p>
    <w:p>
      <w:pPr>
        <w:pStyle w:val="Heading1"/>
      </w:pPr>
      <w:r>
        <w:t>SOP 2: Supplier bank changes</w:t>
      </w:r>
    </w:p>
    <w:p>
      <w:r>
        <w:rPr>
          <w:b/>
        </w:rPr>
        <w:t>Run:</w:t>
      </w:r>
      <w:r>
        <w:t xml:space="preserve"> on every request to change payment details.</w:t>
      </w:r>
    </w:p>
    <w:p>
      <w:pPr>
        <w:pStyle w:val="ListNumber"/>
      </w:pPr>
      <w:r>
        <w:rPr>
          <w:b/>
        </w:rPr>
        <w:t>Never actioned from the request itself</w:t>
      </w:r>
      <w:r>
        <w:t>, whatever it looks like or who appears to have sent it.</w:t>
      </w:r>
    </w:p>
    <w:p>
      <w:pPr>
        <w:pStyle w:val="ListNumber"/>
      </w:pPr>
      <w:r>
        <w:t xml:space="preserve">Verified by phone, to a number </w:t>
      </w:r>
      <w:r>
        <w:rPr>
          <w:b/>
        </w:rPr>
        <w:t>already held before the request arrived</w:t>
      </w:r>
      <w:r>
        <w:t>. Not a number in the</w:t>
      </w:r>
    </w:p>
    <w:p>
      <w:r>
        <w:t>email, and not one on the letterhead of the letter making the request.</w:t>
      </w:r>
    </w:p>
    <w:p>
      <w:pPr>
        <w:pStyle w:val="ListNumber"/>
      </w:pPr>
      <w:r>
        <w:t>A second person confirms the verification happened.</w:t>
      </w:r>
    </w:p>
    <w:p>
      <w:pPr>
        <w:pStyle w:val="ListNumber"/>
      </w:pPr>
      <w:r>
        <w:t>First payment after a change is checked against the previous pattern.</w:t>
      </w:r>
    </w:p>
    <w:p>
      <w:r>
        <w:t>This is the mechanic of most invoice fraud. It works because the request looks routine and the verification feels rude.</w:t>
      </w:r>
    </w:p>
    <w:p>
      <w:pPr>
        <w:pStyle w:val="Heading1"/>
      </w:pPr>
      <w:r>
        <w:t>SOP 3: Monthly close</w:t>
      </w:r>
    </w:p>
    <w:p>
      <w:r>
        <w:rPr>
          <w:b/>
        </w:rPr>
        <w:t>Run:</w:t>
      </w:r>
      <w:r>
        <w:t xml:space="preserve"> monthly. Target five working days.</w:t>
      </w:r>
    </w:p>
    <w:p>
      <w:r>
        <w:t>Accruals, reconciliations, revenue recognition, project costs. Automation does the matching; a person judges anything requiring judgement, and revenue recognition is always judgement.</w:t>
      </w:r>
    </w:p>
    <w:p>
      <w:r>
        <w:rPr>
          <w:b/>
        </w:rPr>
        <w:t>Accurate and late is a failure, not a virtue.</w:t>
      </w:r>
      <w:r>
        <w:t xml:space="preserve"> Numbers arriving on day 25 describe a month nobody can now change.</w:t>
      </w:r>
    </w:p>
    <w:p>
      <w:pPr>
        <w:pStyle w:val="Heading1"/>
      </w:pPr>
      <w:r>
        <w:t>SOP 4: Project margin review</w:t>
      </w:r>
    </w:p>
    <w:p>
      <w:r>
        <w:rPr>
          <w:b/>
        </w:rPr>
        <w:t>Run:</w:t>
      </w:r>
      <w:r>
        <w:t xml:space="preserve"> monthly, per project, with the PMO.</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Check</w:t>
            </w:r>
          </w:p>
        </w:tc>
        <w:tc>
          <w:tcPr>
            <w:tcW w:type="dxa" w:w="4706"/>
            <w:shd w:val="clear" w:color="auto" w:fill="F1EAFE"/>
          </w:tcPr>
          <w:p>
            <w:pPr>
              <w:spacing w:after="40"/>
            </w:pPr>
            <w:r>
              <w:rPr>
                <w:b/>
                <w:sz w:val="18"/>
              </w:rPr>
            </w:r>
            <w:r>
              <w:rPr>
                <w:b/>
                <w:sz w:val="18"/>
              </w:rPr>
              <w:t>Why</w:t>
            </w:r>
          </w:p>
        </w:tc>
      </w:tr>
      <w:tr>
        <w:tc>
          <w:tcPr>
            <w:tcW w:type="dxa" w:w="4706"/>
          </w:tcPr>
          <w:p>
            <w:pPr>
              <w:spacing w:after="40"/>
            </w:pPr>
            <w:r>
              <w:rPr>
                <w:sz w:val="18"/>
              </w:rPr>
            </w:r>
            <w:r>
              <w:rPr>
                <w:sz w:val="18"/>
              </w:rPr>
              <w:t>Cost against contract value</w:t>
            </w:r>
          </w:p>
        </w:tc>
        <w:tc>
          <w:tcPr>
            <w:tcW w:type="dxa" w:w="4706"/>
          </w:tcPr>
          <w:p>
            <w:pPr>
              <w:spacing w:after="40"/>
            </w:pPr>
            <w:r>
              <w:rPr>
                <w:sz w:val="18"/>
              </w:rPr>
            </w:r>
            <w:r>
              <w:rPr>
                <w:sz w:val="18"/>
              </w:rPr>
              <w:t>The headline</w:t>
            </w:r>
          </w:p>
        </w:tc>
      </w:tr>
      <w:tr>
        <w:tc>
          <w:tcPr>
            <w:tcW w:type="dxa" w:w="4706"/>
          </w:tcPr>
          <w:p>
            <w:pPr>
              <w:spacing w:after="40"/>
            </w:pPr>
            <w:r>
              <w:rPr>
                <w:sz w:val="18"/>
              </w:rPr>
            </w:r>
            <w:r>
              <w:rPr>
                <w:b/>
                <w:sz w:val="18"/>
              </w:rPr>
              <w:t>Unbilled scope</w:t>
            </w:r>
          </w:p>
        </w:tc>
        <w:tc>
          <w:tcPr>
            <w:tcW w:type="dxa" w:w="4706"/>
          </w:tcPr>
          <w:p>
            <w:pPr>
              <w:spacing w:after="40"/>
            </w:pPr>
            <w:r>
              <w:rPr>
                <w:sz w:val="18"/>
              </w:rPr>
            </w:r>
            <w:r>
              <w:rPr>
                <w:sz w:val="18"/>
              </w:rPr>
              <w:t>Where margin actually goes. Work done and never invoiced</w:t>
            </w:r>
          </w:p>
        </w:tc>
      </w:tr>
      <w:tr>
        <w:tc>
          <w:tcPr>
            <w:tcW w:type="dxa" w:w="4706"/>
          </w:tcPr>
          <w:p>
            <w:pPr>
              <w:spacing w:after="40"/>
            </w:pPr>
            <w:r>
              <w:rPr>
                <w:sz w:val="18"/>
              </w:rPr>
            </w:r>
            <w:r>
              <w:rPr>
                <w:sz w:val="18"/>
              </w:rPr>
              <w:t>Time booked against budgeted</w:t>
            </w:r>
          </w:p>
        </w:tc>
        <w:tc>
          <w:tcPr>
            <w:tcW w:type="dxa" w:w="4706"/>
          </w:tcPr>
          <w:p>
            <w:pPr>
              <w:spacing w:after="40"/>
            </w:pPr>
            <w:r>
              <w:rPr>
                <w:sz w:val="18"/>
              </w:rPr>
            </w:r>
            <w:r>
              <w:rPr>
                <w:sz w:val="18"/>
              </w:rPr>
              <w:t>Early signal, ahead of cost</w:t>
            </w:r>
          </w:p>
        </w:tc>
      </w:tr>
      <w:tr>
        <w:tc>
          <w:tcPr>
            <w:tcW w:type="dxa" w:w="4706"/>
          </w:tcPr>
          <w:p>
            <w:pPr>
              <w:spacing w:after="40"/>
            </w:pPr>
            <w:r>
              <w:rPr>
                <w:sz w:val="18"/>
              </w:rPr>
            </w:r>
            <w:r>
              <w:rPr>
                <w:sz w:val="18"/>
              </w:rPr>
              <w:t>Forecast at completion</w:t>
            </w:r>
          </w:p>
        </w:tc>
        <w:tc>
          <w:tcPr>
            <w:tcW w:type="dxa" w:w="4706"/>
          </w:tcPr>
          <w:p>
            <w:pPr>
              <w:spacing w:after="40"/>
            </w:pPr>
            <w:r>
              <w:rPr>
                <w:sz w:val="18"/>
              </w:rPr>
            </w:r>
            <w:r>
              <w:rPr>
                <w:sz w:val="18"/>
              </w:rPr>
              <w:t>The number that lets someone act</w:t>
            </w:r>
          </w:p>
        </w:tc>
      </w:tr>
    </w:tbl>
    <w:p>
      <w:pPr>
        <w:spacing w:after="40"/>
      </w:pPr>
    </w:p>
    <w:p>
      <w:r>
        <w:t xml:space="preserve">A project trending to a loss is escalated in the month it is spotted, not at closure. </w:t>
      </w:r>
      <w:r>
        <w:rPr>
          <w:b/>
        </w:rPr>
        <w:t>At closure the information has no value left in it.</w:t>
      </w:r>
    </w:p>
    <w:p>
      <w:pPr>
        <w:pStyle w:val="Heading1"/>
      </w:pPr>
      <w:r>
        <w:t>SOP 5: Forecast recalibration</w:t>
      </w:r>
    </w:p>
    <w:p>
      <w:r>
        <w:rPr>
          <w:b/>
        </w:rPr>
        <w:t>Run:</w:t>
      </w:r>
      <w:r>
        <w:t xml:space="preserve"> quarterly.</w:t>
      </w:r>
    </w:p>
    <w:p>
      <w:r>
        <w:t>Compare last quarter's forecast to what happened, then adjust the model rather than the memory of it.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Systematic error</w:t>
            </w:r>
          </w:p>
        </w:tc>
        <w:tc>
          <w:tcPr>
            <w:tcW w:type="dxa" w:w="4706"/>
            <w:shd w:val="clear" w:color="auto" w:fill="F1EAFE"/>
          </w:tcPr>
          <w:p>
            <w:pPr>
              <w:spacing w:after="40"/>
            </w:pPr>
            <w:r>
              <w:rPr>
                <w:b/>
                <w:sz w:val="18"/>
              </w:rPr>
            </w:r>
            <w:r>
              <w:rPr>
                <w:b/>
                <w:sz w:val="18"/>
              </w:rPr>
              <w:t>Correction</w:t>
            </w:r>
          </w:p>
        </w:tc>
      </w:tr>
      <w:tr>
        <w:tc>
          <w:tcPr>
            <w:tcW w:type="dxa" w:w="4706"/>
          </w:tcPr>
          <w:p>
            <w:pPr>
              <w:spacing w:after="40"/>
            </w:pPr>
            <w:r>
              <w:rPr>
                <w:sz w:val="18"/>
              </w:rPr>
            </w:r>
            <w:r>
              <w:rPr>
                <w:sz w:val="18"/>
              </w:rPr>
              <w:t>Collections consistently later than assumed</w:t>
            </w:r>
          </w:p>
        </w:tc>
        <w:tc>
          <w:tcPr>
            <w:tcW w:type="dxa" w:w="4706"/>
          </w:tcPr>
          <w:p>
            <w:pPr>
              <w:spacing w:after="40"/>
            </w:pPr>
            <w:r>
              <w:rPr>
                <w:sz w:val="18"/>
              </w:rPr>
            </w:r>
            <w:r>
              <w:rPr>
                <w:sz w:val="18"/>
              </w:rPr>
              <w:t>Use actual DSO, not payment terms</w:t>
            </w:r>
          </w:p>
        </w:tc>
      </w:tr>
      <w:tr>
        <w:tc>
          <w:tcPr>
            <w:tcW w:type="dxa" w:w="4706"/>
          </w:tcPr>
          <w:p>
            <w:pPr>
              <w:spacing w:after="40"/>
            </w:pPr>
            <w:r>
              <w:rPr>
                <w:sz w:val="18"/>
              </w:rPr>
            </w:r>
            <w:r>
              <w:rPr>
                <w:sz w:val="18"/>
              </w:rPr>
              <w:t>Revenue consistently below forecast</w:t>
            </w:r>
          </w:p>
        </w:tc>
        <w:tc>
          <w:tcPr>
            <w:tcW w:type="dxa" w:w="4706"/>
          </w:tcPr>
          <w:p>
            <w:pPr>
              <w:spacing w:after="40"/>
            </w:pPr>
            <w:r>
              <w:rPr>
                <w:sz w:val="18"/>
              </w:rPr>
            </w:r>
            <w:r>
              <w:rPr>
                <w:sz w:val="18"/>
              </w:rPr>
              <w:t>Recalibrate pipeline weightings against real close rates</w:t>
            </w:r>
          </w:p>
        </w:tc>
      </w:tr>
      <w:tr>
        <w:tc>
          <w:tcPr>
            <w:tcW w:type="dxa" w:w="4706"/>
          </w:tcPr>
          <w:p>
            <w:pPr>
              <w:spacing w:after="40"/>
            </w:pPr>
            <w:r>
              <w:rPr>
                <w:sz w:val="18"/>
              </w:rPr>
            </w:r>
            <w:r>
              <w:rPr>
                <w:sz w:val="18"/>
              </w:rPr>
              <w:t>Costs consistently above</w:t>
            </w:r>
          </w:p>
        </w:tc>
        <w:tc>
          <w:tcPr>
            <w:tcW w:type="dxa" w:w="4706"/>
          </w:tcPr>
          <w:p>
            <w:pPr>
              <w:spacing w:after="40"/>
            </w:pPr>
            <w:r>
              <w:rPr>
                <w:sz w:val="18"/>
              </w:rPr>
            </w:r>
            <w:r>
              <w:rPr>
                <w:sz w:val="18"/>
              </w:rPr>
              <w:t>Find the category, usually contractors or cloud</w:t>
            </w:r>
          </w:p>
        </w:tc>
      </w:tr>
    </w:tbl>
    <w:p>
      <w:pPr>
        <w:spacing w:after="40"/>
      </w:pPr>
    </w:p>
    <w:p>
      <w:r>
        <w:t>A forecast nobody scores becomes a confident forecast, and a confident wrong forecast is worse than an honest range.</w:t>
      </w:r>
    </w:p>
    <w:p>
      <w:pPr>
        <w:pStyle w:val="Heading1"/>
      </w:pPr>
      <w:r>
        <w:t>SOP 6: Runway calculation</w:t>
      </w:r>
    </w:p>
    <w:p>
      <w:r>
        <w:rPr>
          <w:b/>
        </w:rPr>
        <w:t>Run:</w:t>
      </w:r>
      <w:r>
        <w:t xml:space="preserve"> monthly, and before any significant commitment.</w:t>
      </w:r>
    </w:p>
    <w:p>
      <w:r>
        <w:t xml:space="preserve">Cash, minus burn, </w:t>
      </w:r>
      <w:r>
        <w:rPr>
          <w:b/>
        </w:rPr>
        <w:t>minus committed but unspent obligations</w:t>
      </w:r>
      <w:r>
        <w:t>. The third term is the one omitted, and omitting it overstates runway by exactly the amount that matters.</w:t>
      </w:r>
    </w:p>
    <w:p>
      <w:r>
        <w:t>Reported as a range with assumptions stated: best case, expected, and what happens if the two largest receivables arrive 30 days late.</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Runway below 9 months</w:t>
            </w:r>
          </w:p>
        </w:tc>
        <w:tc>
          <w:tcPr>
            <w:tcW w:type="dxa" w:w="4706"/>
          </w:tcPr>
          <w:p>
            <w:pPr>
              <w:spacing w:after="40"/>
            </w:pPr>
            <w:r>
              <w:rPr>
                <w:sz w:val="18"/>
              </w:rPr>
            </w:r>
            <w:r>
              <w:rPr>
                <w:sz w:val="18"/>
              </w:rPr>
              <w:t>CEO immediately, with options rather than only a number</w:t>
            </w:r>
          </w:p>
        </w:tc>
      </w:tr>
      <w:tr>
        <w:tc>
          <w:tcPr>
            <w:tcW w:type="dxa" w:w="4706"/>
          </w:tcPr>
          <w:p>
            <w:pPr>
              <w:spacing w:after="40"/>
            </w:pPr>
            <w:r>
              <w:rPr>
                <w:sz w:val="18"/>
              </w:rPr>
            </w:r>
            <w:r>
              <w:rPr>
                <w:sz w:val="18"/>
              </w:rPr>
              <w:t>A project forecast to lose money</w:t>
            </w:r>
          </w:p>
        </w:tc>
        <w:tc>
          <w:tcPr>
            <w:tcW w:type="dxa" w:w="4706"/>
          </w:tcPr>
          <w:p>
            <w:pPr>
              <w:spacing w:after="40"/>
            </w:pPr>
            <w:r>
              <w:rPr>
                <w:sz w:val="18"/>
              </w:rPr>
            </w:r>
            <w:r>
              <w:rPr>
                <w:sz w:val="18"/>
              </w:rPr>
              <w:t>CEO and PMO the same week</w:t>
            </w:r>
          </w:p>
        </w:tc>
      </w:tr>
      <w:tr>
        <w:tc>
          <w:tcPr>
            <w:tcW w:type="dxa" w:w="4706"/>
          </w:tcPr>
          <w:p>
            <w:pPr>
              <w:spacing w:after="40"/>
            </w:pPr>
            <w:r>
              <w:rPr>
                <w:sz w:val="18"/>
              </w:rPr>
            </w:r>
            <w:r>
              <w:rPr>
                <w:sz w:val="18"/>
              </w:rPr>
              <w:t>A supplier bank change that cannot be verified</w:t>
            </w:r>
          </w:p>
        </w:tc>
        <w:tc>
          <w:tcPr>
            <w:tcW w:type="dxa" w:w="4706"/>
          </w:tcPr>
          <w:p>
            <w:pPr>
              <w:spacing w:after="40"/>
            </w:pPr>
            <w:r>
              <w:rPr>
                <w:sz w:val="18"/>
              </w:rPr>
            </w:r>
            <w:r>
              <w:rPr>
                <w:sz w:val="18"/>
              </w:rPr>
              <w:t>Stop. Do not pay. Treat as attempted fraud until disproven</w:t>
            </w:r>
          </w:p>
        </w:tc>
      </w:tr>
      <w:tr>
        <w:tc>
          <w:tcPr>
            <w:tcW w:type="dxa" w:w="4706"/>
          </w:tcPr>
          <w:p>
            <w:pPr>
              <w:spacing w:after="40"/>
            </w:pPr>
            <w:r>
              <w:rPr>
                <w:sz w:val="18"/>
              </w:rPr>
            </w:r>
            <w:r>
              <w:rPr>
                <w:sz w:val="18"/>
              </w:rPr>
              <w:t>Any payment released without second approval</w:t>
            </w:r>
          </w:p>
        </w:tc>
        <w:tc>
          <w:tcPr>
            <w:tcW w:type="dxa" w:w="4706"/>
          </w:tcPr>
          <w:p>
            <w:pPr>
              <w:spacing w:after="40"/>
            </w:pPr>
            <w:r>
              <w:rPr>
                <w:sz w:val="18"/>
              </w:rPr>
            </w:r>
            <w:r>
              <w:rPr>
                <w:sz w:val="18"/>
              </w:rPr>
              <w:t>Investigate as a control failure regardless of outcome</w:t>
            </w:r>
          </w:p>
        </w:tc>
      </w:tr>
      <w:tr>
        <w:tc>
          <w:tcPr>
            <w:tcW w:type="dxa" w:w="4706"/>
          </w:tcPr>
          <w:p>
            <w:pPr>
              <w:spacing w:after="40"/>
            </w:pPr>
            <w:r>
              <w:rPr>
                <w:sz w:val="18"/>
              </w:rPr>
            </w:r>
            <w:r>
              <w:rPr>
                <w:sz w:val="18"/>
              </w:rPr>
              <w:t>Revenue recognition judgement</w:t>
            </w:r>
          </w:p>
        </w:tc>
        <w:tc>
          <w:tcPr>
            <w:tcW w:type="dxa" w:w="4706"/>
          </w:tcPr>
          <w:p>
            <w:pPr>
              <w:spacing w:after="40"/>
            </w:pPr>
            <w:r>
              <w:rPr>
                <w:sz w:val="18"/>
              </w:rPr>
            </w:r>
            <w:r>
              <w:rPr>
                <w:sz w:val="18"/>
              </w:rPr>
              <w:t>CFO, and the auditor if material</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Finance: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standard operating procedures</dc:title>
  <dc:subject/>
  <dc:creator>BvLogic</dc:creator>
  <cp:keywords>BvLogic, Sop, enterprise AI, Finance: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