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KPI</w:t>
      </w:r>
    </w:p>
    <w:p>
      <w:pPr>
        <w:spacing w:after="160"/>
      </w:pPr>
      <w:r>
        <w:rPr>
          <w:rFonts w:ascii="Georgia" w:hAnsi="Georgia"/>
          <w:b/>
          <w:color w:val="0F141A"/>
          <w:sz w:val="56"/>
        </w:rPr>
        <w:t>Finance: the KPI set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BVL-B15799</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Kpi</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pPr>
        <w:pStyle w:val="Heading1"/>
      </w:pPr>
      <w:r>
        <w:t>The three questions</w:t>
      </w:r>
    </w:p>
    <w:p>
      <w:r>
        <w:t>Before any dashboard, this function is judged on whether the CEO can answer three things today, without commissioning work:</w:t>
      </w:r>
    </w:p>
    <w:p>
      <w:pPr>
        <w:pStyle w:val="ListNumber"/>
      </w:pPr>
      <w:r>
        <w:rPr>
          <w:b/>
        </w:rPr>
        <w:t>What is our runway, in months?</w:t>
      </w:r>
    </w:p>
    <w:p>
      <w:pPr>
        <w:pStyle w:val="ListNumber"/>
      </w:pPr>
      <w:r>
        <w:rPr>
          <w:b/>
        </w:rPr>
        <w:t>Which projects are profitable, and which are not?</w:t>
      </w:r>
    </w:p>
    <w:p>
      <w:pPr>
        <w:pStyle w:val="ListNumber"/>
      </w:pPr>
      <w:r>
        <w:rPr>
          <w:b/>
        </w:rPr>
        <w:t>What have we committed to spend that has not yet been spent?</w:t>
      </w:r>
    </w:p>
    <w:p>
      <w:r>
        <w:t>Every measure below exists to keep those three continuously answerable.</w:t>
      </w:r>
    </w:p>
    <w:p>
      <w:pPr>
        <w:pStyle w:val="Heading1"/>
      </w:pPr>
      <w:r>
        <w:t>The six that matter</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Measure</w:t>
            </w:r>
          </w:p>
        </w:tc>
        <w:tc>
          <w:tcPr>
            <w:tcW w:type="dxa" w:w="2353"/>
            <w:shd w:val="clear" w:color="auto" w:fill="F1EAFE"/>
          </w:tcPr>
          <w:p>
            <w:pPr>
              <w:spacing w:after="40"/>
            </w:pPr>
            <w:r>
              <w:rPr>
                <w:b/>
                <w:sz w:val="18"/>
              </w:rPr>
            </w:r>
            <w:r>
              <w:rPr>
                <w:b/>
                <w:sz w:val="18"/>
              </w:rPr>
              <w:t>Definition</w:t>
            </w:r>
          </w:p>
        </w:tc>
        <w:tc>
          <w:tcPr>
            <w:tcW w:type="dxa" w:w="2353"/>
            <w:shd w:val="clear" w:color="auto" w:fill="F1EAFE"/>
          </w:tcPr>
          <w:p>
            <w:pPr>
              <w:spacing w:after="40"/>
            </w:pPr>
            <w:r>
              <w:rPr>
                <w:b/>
                <w:sz w:val="18"/>
              </w:rPr>
            </w:r>
            <w:r>
              <w:rPr>
                <w:b/>
                <w:sz w:val="18"/>
              </w:rPr>
              <w:t>Target</w:t>
            </w:r>
          </w:p>
        </w:tc>
        <w:tc>
          <w:tcPr>
            <w:tcW w:type="dxa" w:w="2353"/>
            <w:shd w:val="clear" w:color="auto" w:fill="F1EAFE"/>
          </w:tcPr>
          <w:p>
            <w:pPr>
              <w:spacing w:after="40"/>
            </w:pPr>
            <w:r>
              <w:rPr>
                <w:b/>
                <w:sz w:val="18"/>
              </w:rPr>
            </w:r>
            <w:r>
              <w:rPr>
                <w:b/>
                <w:sz w:val="18"/>
              </w:rPr>
              <w:t>How it gets gamed</w:t>
            </w:r>
          </w:p>
        </w:tc>
      </w:tr>
      <w:tr>
        <w:tc>
          <w:tcPr>
            <w:tcW w:type="dxa" w:w="2353"/>
          </w:tcPr>
          <w:p>
            <w:pPr>
              <w:spacing w:after="40"/>
            </w:pPr>
            <w:r>
              <w:rPr>
                <w:sz w:val="18"/>
              </w:rPr>
            </w:r>
            <w:r>
              <w:rPr>
                <w:sz w:val="18"/>
              </w:rPr>
              <w:t>Cash runway</w:t>
            </w:r>
          </w:p>
        </w:tc>
        <w:tc>
          <w:tcPr>
            <w:tcW w:type="dxa" w:w="2353"/>
          </w:tcPr>
          <w:p>
            <w:pPr>
              <w:spacing w:after="40"/>
            </w:pPr>
            <w:r>
              <w:rPr>
                <w:sz w:val="18"/>
              </w:rPr>
            </w:r>
            <w:r>
              <w:rPr>
                <w:sz w:val="18"/>
              </w:rPr>
              <w:t>Months at current burn</w:t>
            </w:r>
          </w:p>
        </w:tc>
        <w:tc>
          <w:tcPr>
            <w:tcW w:type="dxa" w:w="2353"/>
          </w:tcPr>
          <w:p>
            <w:pPr>
              <w:spacing w:after="40"/>
            </w:pPr>
            <w:r>
              <w:rPr>
                <w:sz w:val="18"/>
              </w:rPr>
            </w:r>
            <w:r>
              <w:rPr>
                <w:sz w:val="18"/>
              </w:rPr>
              <w:t>Above 12</w:t>
            </w:r>
          </w:p>
        </w:tc>
        <w:tc>
          <w:tcPr>
            <w:tcW w:type="dxa" w:w="2353"/>
          </w:tcPr>
          <w:p>
            <w:pPr>
              <w:spacing w:after="40"/>
            </w:pPr>
            <w:r>
              <w:rPr>
                <w:sz w:val="18"/>
              </w:rPr>
            </w:r>
            <w:r>
              <w:rPr>
                <w:sz w:val="18"/>
              </w:rPr>
              <w:t>Excluding committed but unspent obligations</w:t>
            </w:r>
          </w:p>
        </w:tc>
      </w:tr>
      <w:tr>
        <w:tc>
          <w:tcPr>
            <w:tcW w:type="dxa" w:w="2353"/>
          </w:tcPr>
          <w:p>
            <w:pPr>
              <w:spacing w:after="40"/>
            </w:pPr>
            <w:r>
              <w:rPr>
                <w:sz w:val="18"/>
              </w:rPr>
            </w:r>
            <w:r>
              <w:rPr>
                <w:sz w:val="18"/>
              </w:rPr>
              <w:t>Forecast accuracy</w:t>
            </w:r>
          </w:p>
        </w:tc>
        <w:tc>
          <w:tcPr>
            <w:tcW w:type="dxa" w:w="2353"/>
          </w:tcPr>
          <w:p>
            <w:pPr>
              <w:spacing w:after="40"/>
            </w:pPr>
            <w:r>
              <w:rPr>
                <w:sz w:val="18"/>
              </w:rPr>
            </w:r>
            <w:r>
              <w:rPr>
                <w:sz w:val="18"/>
              </w:rPr>
              <w:t>Cash forecast against actual, 90 days out</w:t>
            </w:r>
          </w:p>
        </w:tc>
        <w:tc>
          <w:tcPr>
            <w:tcW w:type="dxa" w:w="2353"/>
          </w:tcPr>
          <w:p>
            <w:pPr>
              <w:spacing w:after="40"/>
            </w:pPr>
            <w:r>
              <w:rPr>
                <w:sz w:val="18"/>
              </w:rPr>
            </w:r>
            <w:r>
              <w:rPr>
                <w:sz w:val="18"/>
              </w:rPr>
              <w:t>Within 10%</w:t>
            </w:r>
          </w:p>
        </w:tc>
        <w:tc>
          <w:tcPr>
            <w:tcW w:type="dxa" w:w="2353"/>
          </w:tcPr>
          <w:p>
            <w:pPr>
              <w:spacing w:after="40"/>
            </w:pPr>
            <w:r>
              <w:rPr>
                <w:sz w:val="18"/>
              </w:rPr>
            </w:r>
            <w:r>
              <w:rPr>
                <w:sz w:val="18"/>
              </w:rPr>
              <w:t>Forecasting conservatively so every month beats plan</w:t>
            </w:r>
          </w:p>
        </w:tc>
      </w:tr>
      <w:tr>
        <w:tc>
          <w:tcPr>
            <w:tcW w:type="dxa" w:w="2353"/>
          </w:tcPr>
          <w:p>
            <w:pPr>
              <w:spacing w:after="40"/>
            </w:pPr>
            <w:r>
              <w:rPr>
                <w:sz w:val="18"/>
              </w:rPr>
            </w:r>
            <w:r>
              <w:rPr>
                <w:sz w:val="18"/>
              </w:rPr>
              <w:t>Project margin</w:t>
            </w:r>
          </w:p>
        </w:tc>
        <w:tc>
          <w:tcPr>
            <w:tcW w:type="dxa" w:w="2353"/>
          </w:tcPr>
          <w:p>
            <w:pPr>
              <w:spacing w:after="40"/>
            </w:pPr>
            <w:r>
              <w:rPr>
                <w:sz w:val="18"/>
              </w:rPr>
            </w:r>
            <w:r>
              <w:rPr>
                <w:sz w:val="18"/>
              </w:rPr>
              <w:t>Contract value minus true delivered cost</w:t>
            </w:r>
          </w:p>
        </w:tc>
        <w:tc>
          <w:tcPr>
            <w:tcW w:type="dxa" w:w="2353"/>
          </w:tcPr>
          <w:p>
            <w:pPr>
              <w:spacing w:after="40"/>
            </w:pPr>
            <w:r>
              <w:rPr>
                <w:sz w:val="18"/>
              </w:rPr>
            </w:r>
            <w:r>
              <w:rPr>
                <w:sz w:val="18"/>
              </w:rPr>
              <w:t>Above target, per project</w:t>
            </w:r>
          </w:p>
        </w:tc>
        <w:tc>
          <w:tcPr>
            <w:tcW w:type="dxa" w:w="2353"/>
          </w:tcPr>
          <w:p>
            <w:pPr>
              <w:spacing w:after="40"/>
            </w:pPr>
            <w:r>
              <w:rPr>
                <w:sz w:val="18"/>
              </w:rPr>
            </w:r>
            <w:r>
              <w:rPr>
                <w:sz w:val="18"/>
              </w:rPr>
              <w:t>Not counting unbilled scope, which is where margin goes</w:t>
            </w:r>
          </w:p>
        </w:tc>
      </w:tr>
      <w:tr>
        <w:tc>
          <w:tcPr>
            <w:tcW w:type="dxa" w:w="2353"/>
          </w:tcPr>
          <w:p>
            <w:pPr>
              <w:spacing w:after="40"/>
            </w:pPr>
            <w:r>
              <w:rPr>
                <w:sz w:val="18"/>
              </w:rPr>
            </w:r>
            <w:r>
              <w:rPr>
                <w:sz w:val="18"/>
              </w:rPr>
              <w:t>Days sales outstanding</w:t>
            </w:r>
          </w:p>
        </w:tc>
        <w:tc>
          <w:tcPr>
            <w:tcW w:type="dxa" w:w="2353"/>
          </w:tcPr>
          <w:p>
            <w:pPr>
              <w:spacing w:after="40"/>
            </w:pPr>
            <w:r>
              <w:rPr>
                <w:sz w:val="18"/>
              </w:rPr>
            </w:r>
            <w:r>
              <w:rPr>
                <w:sz w:val="18"/>
              </w:rPr>
              <w:t>Invoice to cash</w:t>
            </w:r>
          </w:p>
        </w:tc>
        <w:tc>
          <w:tcPr>
            <w:tcW w:type="dxa" w:w="2353"/>
          </w:tcPr>
          <w:p>
            <w:pPr>
              <w:spacing w:after="40"/>
            </w:pPr>
            <w:r>
              <w:rPr>
                <w:sz w:val="18"/>
              </w:rPr>
            </w:r>
            <w:r>
              <w:rPr>
                <w:sz w:val="18"/>
              </w:rPr>
              <w:t>Under 45</w:t>
            </w:r>
          </w:p>
        </w:tc>
        <w:tc>
          <w:tcPr>
            <w:tcW w:type="dxa" w:w="2353"/>
          </w:tcPr>
          <w:p>
            <w:pPr>
              <w:spacing w:after="40"/>
            </w:pPr>
            <w:r>
              <w:rPr>
                <w:sz w:val="18"/>
              </w:rPr>
            </w:r>
            <w:r>
              <w:rPr>
                <w:sz w:val="18"/>
              </w:rPr>
              <w:t>Excluding the disputed invoices, which are the slow ones</w:t>
            </w:r>
          </w:p>
        </w:tc>
      </w:tr>
      <w:tr>
        <w:tc>
          <w:tcPr>
            <w:tcW w:type="dxa" w:w="2353"/>
          </w:tcPr>
          <w:p>
            <w:pPr>
              <w:spacing w:after="40"/>
            </w:pPr>
            <w:r>
              <w:rPr>
                <w:sz w:val="18"/>
              </w:rPr>
            </w:r>
            <w:r>
              <w:rPr>
                <w:sz w:val="18"/>
              </w:rPr>
              <w:t>Committed but unspent</w:t>
            </w:r>
          </w:p>
        </w:tc>
        <w:tc>
          <w:tcPr>
            <w:tcW w:type="dxa" w:w="2353"/>
          </w:tcPr>
          <w:p>
            <w:pPr>
              <w:spacing w:after="40"/>
            </w:pPr>
            <w:r>
              <w:rPr>
                <w:sz w:val="18"/>
              </w:rPr>
            </w:r>
            <w:r>
              <w:rPr>
                <w:sz w:val="18"/>
              </w:rPr>
              <w:t>Contractual obligations not yet in cash</w:t>
            </w:r>
          </w:p>
        </w:tc>
        <w:tc>
          <w:tcPr>
            <w:tcW w:type="dxa" w:w="2353"/>
          </w:tcPr>
          <w:p>
            <w:pPr>
              <w:spacing w:after="40"/>
            </w:pPr>
            <w:r>
              <w:rPr>
                <w:sz w:val="18"/>
              </w:rPr>
            </w:r>
            <w:r>
              <w:rPr>
                <w:sz w:val="18"/>
              </w:rPr>
              <w:t>Known, always</w:t>
            </w:r>
          </w:p>
        </w:tc>
        <w:tc>
          <w:tcPr>
            <w:tcW w:type="dxa" w:w="2353"/>
          </w:tcPr>
          <w:p>
            <w:pPr>
              <w:spacing w:after="40"/>
            </w:pPr>
            <w:r>
              <w:rPr>
                <w:sz w:val="18"/>
              </w:rPr>
            </w:r>
            <w:r>
              <w:rPr>
                <w:sz w:val="18"/>
              </w:rPr>
              <w:t>Not tracking it, so runway looks longer than it is</w:t>
            </w:r>
          </w:p>
        </w:tc>
      </w:tr>
      <w:tr>
        <w:tc>
          <w:tcPr>
            <w:tcW w:type="dxa" w:w="2353"/>
          </w:tcPr>
          <w:p>
            <w:pPr>
              <w:spacing w:after="40"/>
            </w:pPr>
            <w:r>
              <w:rPr>
                <w:sz w:val="18"/>
              </w:rPr>
            </w:r>
            <w:r>
              <w:rPr>
                <w:sz w:val="18"/>
              </w:rPr>
              <w:t>Anomalies caught before payment</w:t>
            </w:r>
          </w:p>
        </w:tc>
        <w:tc>
          <w:tcPr>
            <w:tcW w:type="dxa" w:w="2353"/>
          </w:tcPr>
          <w:p>
            <w:pPr>
              <w:spacing w:after="40"/>
            </w:pPr>
            <w:r>
              <w:rPr>
                <w:sz w:val="18"/>
              </w:rPr>
            </w:r>
            <w:r>
              <w:rPr>
                <w:sz w:val="18"/>
              </w:rPr>
              <w:t>Flags acted on before money moved</w:t>
            </w:r>
          </w:p>
        </w:tc>
        <w:tc>
          <w:tcPr>
            <w:tcW w:type="dxa" w:w="2353"/>
          </w:tcPr>
          <w:p>
            <w:pPr>
              <w:spacing w:after="40"/>
            </w:pPr>
            <w:r>
              <w:rPr>
                <w:sz w:val="18"/>
              </w:rPr>
            </w:r>
            <w:r>
              <w:rPr>
                <w:sz w:val="18"/>
              </w:rPr>
              <w:t>100%</w:t>
            </w:r>
          </w:p>
        </w:tc>
        <w:tc>
          <w:tcPr>
            <w:tcW w:type="dxa" w:w="2353"/>
          </w:tcPr>
          <w:p>
            <w:pPr>
              <w:spacing w:after="40"/>
            </w:pPr>
            <w:r>
              <w:rPr>
                <w:sz w:val="18"/>
              </w:rPr>
            </w:r>
            <w:r>
              <w:rPr>
                <w:sz w:val="18"/>
              </w:rPr>
              <w:t>Counting anomalies found afterwards as catches</w:t>
            </w:r>
          </w:p>
        </w:tc>
      </w:tr>
    </w:tbl>
    <w:p>
      <w:pPr>
        <w:spacing w:after="40"/>
      </w:pPr>
    </w:p>
    <w:p>
      <w:r>
        <w:rPr>
          <w:b/>
        </w:rPr>
        <w:t>Runway must be net of commitments.</w:t>
      </w:r>
      <w:r>
        <w:t xml:space="preserve"> Cash in the bank minus burn overstates runway whenever there are signed obligations not yet paid, and the difference is largest exactly when it matters.</w:t>
      </w:r>
    </w:p>
    <w:p>
      <w:r>
        <w:rPr>
          <w:b/>
        </w:rPr>
        <w:t>Project margin measured at closure is a post-mortem.</w:t>
      </w:r>
      <w:r>
        <w:t xml:space="preserve"> Measured monthly, it is a chance. A losing project usually declares itself in month two through unbilled hours.</w:t>
      </w:r>
    </w:p>
    <w:p>
      <w:pPr>
        <w:pStyle w:val="Heading1"/>
      </w:pPr>
      <w:r>
        <w:t>Two counter-metrics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Counter-metric</w:t>
            </w:r>
          </w:p>
        </w:tc>
        <w:tc>
          <w:tcPr>
            <w:tcW w:type="dxa" w:w="4706"/>
            <w:shd w:val="clear" w:color="auto" w:fill="F1EAFE"/>
          </w:tcPr>
          <w:p>
            <w:pPr>
              <w:spacing w:after="40"/>
            </w:pPr>
            <w:r>
              <w:rPr>
                <w:b/>
                <w:sz w:val="18"/>
              </w:rPr>
            </w:r>
            <w:r>
              <w:rPr>
                <w:b/>
                <w:sz w:val="18"/>
              </w:rPr>
              <w:t>Catches</w:t>
            </w:r>
          </w:p>
        </w:tc>
      </w:tr>
      <w:tr>
        <w:tc>
          <w:tcPr>
            <w:tcW w:type="dxa" w:w="4706"/>
          </w:tcPr>
          <w:p>
            <w:pPr>
              <w:spacing w:after="40"/>
            </w:pPr>
            <w:r>
              <w:rPr>
                <w:sz w:val="18"/>
              </w:rPr>
            </w:r>
            <w:r>
              <w:rPr>
                <w:sz w:val="18"/>
              </w:rPr>
              <w:t>Invoices paid late by us</w:t>
            </w:r>
          </w:p>
        </w:tc>
        <w:tc>
          <w:tcPr>
            <w:tcW w:type="dxa" w:w="4706"/>
          </w:tcPr>
          <w:p>
            <w:pPr>
              <w:spacing w:after="40"/>
            </w:pPr>
            <w:r>
              <w:rPr>
                <w:sz w:val="18"/>
              </w:rPr>
            </w:r>
            <w:r>
              <w:rPr>
                <w:sz w:val="18"/>
              </w:rPr>
              <w:t>Cash management achieved by damaging supplier relationships, which is borrowing at a very high interest rate</w:t>
            </w:r>
          </w:p>
        </w:tc>
      </w:tr>
      <w:tr>
        <w:tc>
          <w:tcPr>
            <w:tcW w:type="dxa" w:w="4706"/>
          </w:tcPr>
          <w:p>
            <w:pPr>
              <w:spacing w:after="40"/>
            </w:pPr>
            <w:r>
              <w:rPr>
                <w:sz w:val="18"/>
              </w:rPr>
            </w:r>
            <w:r>
              <w:rPr>
                <w:sz w:val="18"/>
              </w:rPr>
              <w:t>Time to close the month</w:t>
            </w:r>
          </w:p>
        </w:tc>
        <w:tc>
          <w:tcPr>
            <w:tcW w:type="dxa" w:w="4706"/>
          </w:tcPr>
          <w:p>
            <w:pPr>
              <w:spacing w:after="40"/>
            </w:pPr>
            <w:r>
              <w:rPr>
                <w:sz w:val="18"/>
              </w:rPr>
            </w:r>
            <w:r>
              <w:rPr>
                <w:sz w:val="18"/>
              </w:rPr>
              <w:t>A finance function keeping numbers accurate by keeping them slow. Accurate and late is a different failure from fast and wrong, and both are failures</w:t>
            </w:r>
          </w:p>
        </w:tc>
      </w:tr>
    </w:tbl>
    <w:p>
      <w:pPr>
        <w:spacing w:after="40"/>
      </w:pPr>
    </w:p>
    <w:p>
      <w:pPr>
        <w:pStyle w:val="Heading1"/>
      </w:pPr>
      <w:r>
        <w:t>Control measures, monthly</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Question</w:t>
            </w:r>
          </w:p>
        </w:tc>
        <w:tc>
          <w:tcPr>
            <w:tcW w:type="dxa" w:w="4706"/>
            <w:shd w:val="clear" w:color="auto" w:fill="F1EAFE"/>
          </w:tcPr>
          <w:p>
            <w:pPr>
              <w:spacing w:after="40"/>
            </w:pPr>
            <w:r>
              <w:rPr>
                <w:b/>
                <w:sz w:val="18"/>
              </w:rPr>
            </w:r>
            <w:r>
              <w:rPr>
                <w:b/>
                <w:sz w:val="18"/>
              </w:rPr>
              <w:t>Bad answer</w:t>
            </w:r>
          </w:p>
        </w:tc>
      </w:tr>
      <w:tr>
        <w:tc>
          <w:tcPr>
            <w:tcW w:type="dxa" w:w="4706"/>
          </w:tcPr>
          <w:p>
            <w:pPr>
              <w:spacing w:after="40"/>
            </w:pPr>
            <w:r>
              <w:rPr>
                <w:sz w:val="18"/>
              </w:rPr>
            </w:r>
            <w:r>
              <w:rPr>
                <w:sz w:val="18"/>
              </w:rPr>
              <w:t>Payments released with a single approval</w:t>
            </w:r>
          </w:p>
        </w:tc>
        <w:tc>
          <w:tcPr>
            <w:tcW w:type="dxa" w:w="4706"/>
          </w:tcPr>
          <w:p>
            <w:pPr>
              <w:spacing w:after="40"/>
            </w:pPr>
            <w:r>
              <w:rPr>
                <w:sz w:val="18"/>
              </w:rPr>
            </w:r>
            <w:r>
              <w:rPr>
                <w:sz w:val="18"/>
              </w:rPr>
              <w:t>Any, above threshold</w:t>
            </w:r>
          </w:p>
        </w:tc>
      </w:tr>
      <w:tr>
        <w:tc>
          <w:tcPr>
            <w:tcW w:type="dxa" w:w="4706"/>
          </w:tcPr>
          <w:p>
            <w:pPr>
              <w:spacing w:after="40"/>
            </w:pPr>
            <w:r>
              <w:rPr>
                <w:sz w:val="18"/>
              </w:rPr>
            </w:r>
            <w:r>
              <w:rPr>
                <w:sz w:val="18"/>
              </w:rPr>
              <w:t>Supplier bank changes this month</w:t>
            </w:r>
          </w:p>
        </w:tc>
        <w:tc>
          <w:tcPr>
            <w:tcW w:type="dxa" w:w="4706"/>
          </w:tcPr>
          <w:p>
            <w:pPr>
              <w:spacing w:after="40"/>
            </w:pPr>
            <w:r>
              <w:rPr>
                <w:sz w:val="18"/>
              </w:rPr>
            </w:r>
            <w:r>
              <w:rPr>
                <w:sz w:val="18"/>
              </w:rPr>
              <w:t>Any not verified out of band, by phone, to a number held beforehand</w:t>
            </w:r>
          </w:p>
        </w:tc>
      </w:tr>
      <w:tr>
        <w:tc>
          <w:tcPr>
            <w:tcW w:type="dxa" w:w="4706"/>
          </w:tcPr>
          <w:p>
            <w:pPr>
              <w:spacing w:after="40"/>
            </w:pPr>
            <w:r>
              <w:rPr>
                <w:sz w:val="18"/>
              </w:rPr>
            </w:r>
            <w:r>
              <w:rPr>
                <w:sz w:val="18"/>
              </w:rPr>
              <w:t>Duplicate invoices caught</w:t>
            </w:r>
          </w:p>
        </w:tc>
        <w:tc>
          <w:tcPr>
            <w:tcW w:type="dxa" w:w="4706"/>
          </w:tcPr>
          <w:p>
            <w:pPr>
              <w:spacing w:after="40"/>
            </w:pPr>
            <w:r>
              <w:rPr>
                <w:sz w:val="18"/>
              </w:rPr>
            </w:r>
            <w:r>
              <w:rPr>
                <w:sz w:val="18"/>
              </w:rPr>
              <w:t>Reported after payment</w:t>
            </w:r>
          </w:p>
        </w:tc>
      </w:tr>
      <w:tr>
        <w:tc>
          <w:tcPr>
            <w:tcW w:type="dxa" w:w="4706"/>
          </w:tcPr>
          <w:p>
            <w:pPr>
              <w:spacing w:after="40"/>
            </w:pPr>
            <w:r>
              <w:rPr>
                <w:sz w:val="18"/>
              </w:rPr>
            </w:r>
            <w:r>
              <w:rPr>
                <w:sz w:val="18"/>
              </w:rPr>
              <w:t>Spend outside delegated authority</w:t>
            </w:r>
          </w:p>
        </w:tc>
        <w:tc>
          <w:tcPr>
            <w:tcW w:type="dxa" w:w="4706"/>
          </w:tcPr>
          <w:p>
            <w:pPr>
              <w:spacing w:after="40"/>
            </w:pPr>
            <w:r>
              <w:rPr>
                <w:sz w:val="18"/>
              </w:rPr>
            </w:r>
            <w:r>
              <w:rPr>
                <w:sz w:val="18"/>
              </w:rPr>
              <w:t>Any, unescalated</w:t>
            </w:r>
          </w:p>
        </w:tc>
      </w:tr>
    </w:tbl>
    <w:p>
      <w:pPr>
        <w:spacing w:after="40"/>
      </w:pPr>
    </w:p>
    <w:p>
      <w:pPr>
        <w:pStyle w:val="Heading1"/>
      </w:pPr>
      <w:r>
        <w:t>What is deliberately not measured</w:t>
      </w:r>
    </w:p>
    <w:p>
      <w:pPr>
        <w:pStyle w:val="ListBullet"/>
      </w:pPr>
      <w:r>
        <w:rPr>
          <w:b/>
        </w:rPr>
        <w:t>Invoices processed.</w:t>
      </w:r>
      <w:r>
        <w:t xml:space="preserve"> Volume, and largely automated.</w:t>
      </w:r>
    </w:p>
    <w:p>
      <w:pPr>
        <w:pStyle w:val="ListBullet"/>
      </w:pPr>
      <w:r>
        <w:rPr>
          <w:b/>
        </w:rPr>
        <w:t>Cost reduction alone.</w:t>
      </w:r>
      <w:r>
        <w:t xml:space="preserve"> Cutting spend and cutting capability look identical on this line.</w:t>
      </w:r>
    </w:p>
    <w:p>
      <w:pPr>
        <w:pStyle w:val="ListBullet"/>
      </w:pPr>
      <w:r>
        <w:rPr>
          <w:b/>
        </w:rPr>
        <w:t>Budget variance in isolation.</w:t>
      </w:r>
      <w:r>
        <w:t xml:space="preserve"> Under budget can mean disciplined or can mean work did not</w:t>
      </w:r>
    </w:p>
    <w:p>
      <w:r>
        <w:t>happen, and the second is usually worse.</w:t>
      </w:r>
    </w:p>
    <w:p>
      <w:pPr>
        <w:pStyle w:val="ListBullet"/>
      </w:pPr>
      <w:r>
        <w:rPr>
          <w:b/>
        </w:rPr>
        <w:t>Revenue without margin.</w:t>
      </w:r>
      <w:r>
        <w:t xml:space="preserve"> Growth at negative margin is a faster way to run out of money.</w:t>
      </w:r>
    </w:p>
    <w:p>
      <w:pPr>
        <w:pStyle w:val="Heading1"/>
      </w:pPr>
      <w:r>
        <w:t>Cadence</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Weekly</w:t>
            </w:r>
          </w:p>
        </w:tc>
        <w:tc>
          <w:tcPr>
            <w:tcW w:type="dxa" w:w="4706"/>
            <w:shd w:val="clear" w:color="auto" w:fill="F1EAFE"/>
          </w:tcPr>
          <w:p>
            <w:pPr>
              <w:spacing w:after="40"/>
            </w:pPr>
            <w:r>
              <w:rPr>
                <w:b/>
                <w:sz w:val="18"/>
              </w:rPr>
            </w:r>
            <w:r>
              <w:rPr>
                <w:b/>
                <w:sz w:val="18"/>
              </w:rPr>
              <w:t>Cash position, receivables ageing, anomalies flagged</w:t>
            </w:r>
          </w:p>
        </w:tc>
      </w:tr>
      <w:tr>
        <w:tc>
          <w:tcPr>
            <w:tcW w:type="dxa" w:w="4706"/>
          </w:tcPr>
          <w:p>
            <w:pPr>
              <w:spacing w:after="40"/>
            </w:pPr>
            <w:r>
              <w:rPr>
                <w:sz w:val="18"/>
              </w:rPr>
            </w:r>
            <w:r>
              <w:rPr>
                <w:sz w:val="18"/>
              </w:rPr>
              <w:t>Monthly</w:t>
            </w:r>
          </w:p>
        </w:tc>
        <w:tc>
          <w:tcPr>
            <w:tcW w:type="dxa" w:w="4706"/>
          </w:tcPr>
          <w:p>
            <w:pPr>
              <w:spacing w:after="40"/>
            </w:pPr>
            <w:r>
              <w:rPr>
                <w:sz w:val="18"/>
              </w:rPr>
            </w:r>
            <w:r>
              <w:rPr>
                <w:sz w:val="18"/>
              </w:rPr>
              <w:t>Close, project margins, forecast against actual, control checks</w:t>
            </w:r>
          </w:p>
        </w:tc>
      </w:tr>
      <w:tr>
        <w:tc>
          <w:tcPr>
            <w:tcW w:type="dxa" w:w="4706"/>
          </w:tcPr>
          <w:p>
            <w:pPr>
              <w:spacing w:after="40"/>
            </w:pPr>
            <w:r>
              <w:rPr>
                <w:sz w:val="18"/>
              </w:rPr>
            </w:r>
            <w:r>
              <w:rPr>
                <w:sz w:val="18"/>
              </w:rPr>
              <w:t>Quarterly</w:t>
            </w:r>
          </w:p>
        </w:tc>
        <w:tc>
          <w:tcPr>
            <w:tcW w:type="dxa" w:w="4706"/>
          </w:tcPr>
          <w:p>
            <w:pPr>
              <w:spacing w:after="40"/>
            </w:pPr>
            <w:r>
              <w:rPr>
                <w:sz w:val="18"/>
              </w:rPr>
            </w:r>
            <w:r>
              <w:rPr>
                <w:sz w:val="18"/>
              </w:rPr>
              <w:t>Runway including commitments, pricing review with Sales, forecast recalibration</w:t>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Finance: the KPI set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Finance: the KPI set</dc:title>
  <dc:subject/>
  <dc:creator>BvLogic</dc:creator>
  <cp:keywords>BvLogic, Kpi, enterprise AI, Finance: the KPI set</cp:keywords>
  <dc:description/>
  <cp:lastModifiedBy/>
  <cp:revision>1</cp:revision>
  <dcterms:created xsi:type="dcterms:W3CDTF">2013-12-23T23:15:00Z</dcterms:created>
  <dcterms:modified xsi:type="dcterms:W3CDTF">2013-12-23T23:15:00Z</dcterms:modified>
  <cp:category>Kpi</cp:category>
  <dc:language>en-GB</dc:language>
</cp:coreProperties>
</file>