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Bdr>
          <w:bottom w:val="single" w:sz="8" w:space="4" w:color="7C3AED"/>
        </w:pBdr>
      </w:pPr>
      <w:r>
        <w:rPr>
          <w:rFonts w:ascii="Georgia" w:hAnsi="Georgia"/>
          <w:b/>
          <w:color w:val="7C3AED"/>
          <w:sz w:val="44"/>
        </w:rPr>
        <w:t>BvLogic</w:t>
      </w:r>
    </w:p>
    <w:p>
      <w:pPr>
        <w:spacing w:before="720"/>
      </w:pPr>
      <w:r>
        <w:rPr>
          <w:b/>
          <w:color w:val="5B6471"/>
          <w:sz w:val="18"/>
        </w:rPr>
        <w:t>CHECKLIST</w:t>
      </w:r>
    </w:p>
    <w:p>
      <w:pPr>
        <w:spacing w:after="160"/>
      </w:pPr>
      <w:r>
        <w:rPr>
          <w:rFonts w:ascii="Georgia" w:hAnsi="Georgia"/>
          <w:b/>
          <w:color w:val="0F141A"/>
          <w:sz w:val="56"/>
        </w:rPr>
        <w:t>Practice Session Checklist</w:t>
      </w:r>
    </w:p>
    <w:tbl>
      <w:tblPr>
        <w:tblStyle w:val="TableGrid"/>
        <w:tblW w:type="auto" w:w="0"/>
        <w:jc w:val="left"/>
        <w:tblLook w:firstColumn="1" w:firstRow="1" w:lastColumn="0" w:lastRow="0" w:noHBand="0" w:noVBand="1" w:val="04A0"/>
      </w:tblPr>
      <w:tblGrid>
        <w:gridCol w:w="4706"/>
        <w:gridCol w:w="4706"/>
      </w:tblGrid>
      <w:tr>
        <w:tc>
          <w:tcPr>
            <w:tcW w:type="dxa" w:w="2551"/>
            <w:shd w:val="clear" w:color="auto" w:fill="F1EAFE"/>
          </w:tcPr>
          <w:p>
            <w:r/>
            <w:r>
              <w:rPr>
                <w:b/>
                <w:sz w:val="18"/>
              </w:rPr>
              <w:t>Document ID</w:t>
            </w:r>
          </w:p>
        </w:tc>
        <w:tc>
          <w:tcPr>
            <w:tcW w:type="dxa" w:w="6520"/>
          </w:tcPr>
          <w:p>
            <w:r/>
            <w:r>
              <w:rPr>
                <w:sz w:val="18"/>
              </w:rPr>
              <w:t>BVL-340C6E</w:t>
            </w:r>
          </w:p>
        </w:tc>
      </w:tr>
      <w:tr>
        <w:tc>
          <w:tcPr>
            <w:tcW w:type="dxa" w:w="2551"/>
            <w:shd w:val="clear" w:color="auto" w:fill="F1EAFE"/>
          </w:tcPr>
          <w:p>
            <w:r/>
            <w:r>
              <w:rPr>
                <w:b/>
                <w:sz w:val="18"/>
              </w:rPr>
              <w:t>Version</w:t>
            </w:r>
          </w:p>
        </w:tc>
        <w:tc>
          <w:tcPr>
            <w:tcW w:type="dxa" w:w="6520"/>
          </w:tcPr>
          <w:p>
            <w:r/>
            <w:r>
              <w:rPr>
                <w:sz w:val="18"/>
              </w:rPr>
              <w:t>1.0</w:t>
            </w:r>
          </w:p>
        </w:tc>
      </w:tr>
      <w:tr>
        <w:tc>
          <w:tcPr>
            <w:tcW w:type="dxa" w:w="2551"/>
            <w:shd w:val="clear" w:color="auto" w:fill="F1EAFE"/>
          </w:tcPr>
          <w:p>
            <w:r/>
            <w:r>
              <w:rPr>
                <w:b/>
                <w:sz w:val="18"/>
              </w:rPr>
              <w:t>Status</w:t>
            </w:r>
          </w:p>
        </w:tc>
        <w:tc>
          <w:tcPr>
            <w:tcW w:type="dxa" w:w="6520"/>
          </w:tcPr>
          <w:p>
            <w:r/>
            <w:r>
              <w:rPr>
                <w:sz w:val="18"/>
              </w:rPr>
              <w:t>Published</w:t>
            </w:r>
          </w:p>
        </w:tc>
      </w:tr>
      <w:tr>
        <w:tc>
          <w:tcPr>
            <w:tcW w:type="dxa" w:w="2551"/>
            <w:shd w:val="clear" w:color="auto" w:fill="F1EAFE"/>
          </w:tcPr>
          <w:p>
            <w:r/>
            <w:r>
              <w:rPr>
                <w:b/>
                <w:sz w:val="18"/>
              </w:rPr>
              <w:t>Owner</w:t>
            </w:r>
          </w:p>
        </w:tc>
        <w:tc>
          <w:tcPr>
            <w:tcW w:type="dxa" w:w="6520"/>
          </w:tcPr>
          <w:p>
            <w:r/>
            <w:r>
              <w:rPr>
                <w:sz w:val="18"/>
              </w:rPr>
              <w:t>BvLogic Knowledge Management</w:t>
            </w:r>
          </w:p>
        </w:tc>
      </w:tr>
      <w:tr>
        <w:tc>
          <w:tcPr>
            <w:tcW w:type="dxa" w:w="2551"/>
            <w:shd w:val="clear" w:color="auto" w:fill="F1EAFE"/>
          </w:tcPr>
          <w:p>
            <w:r/>
            <w:r>
              <w:rPr>
                <w:b/>
                <w:sz w:val="18"/>
              </w:rPr>
              <w:t>Classification</w:t>
            </w:r>
          </w:p>
        </w:tc>
        <w:tc>
          <w:tcPr>
            <w:tcW w:type="dxa" w:w="6520"/>
          </w:tcPr>
          <w:p>
            <w:r/>
            <w:r>
              <w:rPr>
                <w:sz w:val="18"/>
              </w:rPr>
              <w:t>Public</w:t>
            </w:r>
          </w:p>
        </w:tc>
      </w:tr>
      <w:tr>
        <w:tc>
          <w:tcPr>
            <w:tcW w:type="dxa" w:w="2551"/>
            <w:shd w:val="clear" w:color="auto" w:fill="F1EAFE"/>
          </w:tcPr>
          <w:p>
            <w:r/>
            <w:r>
              <w:rPr>
                <w:b/>
                <w:sz w:val="18"/>
              </w:rPr>
              <w:t>Issued</w:t>
            </w:r>
          </w:p>
        </w:tc>
        <w:tc>
          <w:tcPr>
            <w:tcW w:type="dxa" w:w="6520"/>
          </w:tcPr>
          <w:p>
            <w:r/>
            <w:r>
              <w:rPr>
                <w:sz w:val="18"/>
              </w:rPr>
              <w:t>18 August 2026</w:t>
            </w:r>
          </w:p>
        </w:tc>
      </w:tr>
      <w:tr>
        <w:tc>
          <w:tcPr>
            <w:tcW w:type="dxa" w:w="2551"/>
            <w:shd w:val="clear" w:color="auto" w:fill="F1EAFE"/>
          </w:tcPr>
          <w:p>
            <w:r/>
            <w:r>
              <w:rPr>
                <w:b/>
                <w:sz w:val="18"/>
              </w:rPr>
              <w:t>Next review</w:t>
            </w:r>
          </w:p>
        </w:tc>
        <w:tc>
          <w:tcPr>
            <w:tcW w:type="dxa" w:w="6520"/>
          </w:tcPr>
          <w:p>
            <w:r/>
            <w:r>
              <w:rPr>
                <w:sz w:val="18"/>
              </w:rPr>
              <w:t>18 August 2027</w:t>
            </w:r>
          </w:p>
        </w:tc>
      </w:tr>
      <w:tr>
        <w:tc>
          <w:tcPr>
            <w:tcW w:type="dxa" w:w="2551"/>
            <w:shd w:val="clear" w:color="auto" w:fill="F1EAFE"/>
          </w:tcPr>
          <w:p>
            <w:r/>
            <w:r>
              <w:rPr>
                <w:b/>
                <w:sz w:val="18"/>
              </w:rPr>
              <w:t>Document type</w:t>
            </w:r>
          </w:p>
        </w:tc>
        <w:tc>
          <w:tcPr>
            <w:tcW w:type="dxa" w:w="6520"/>
          </w:tcPr>
          <w:p>
            <w:r/>
            <w:r>
              <w:rPr>
                <w:sz w:val="18"/>
              </w:rPr>
              <w:t>Checklist</w:t>
            </w:r>
          </w:p>
        </w:tc>
      </w:tr>
    </w:tbl>
    <w:p>
      <w:pPr>
        <w:sectPr>
          <w:headerReference w:type="default" r:id="rId9"/>
          <w:pgSz w:w="11906" w:h="16838"/>
          <w:pgMar w:top="1417" w:right="1247" w:bottom="1417" w:left="1247" w:header="680" w:footer="680" w:gutter="0"/>
          <w:cols w:space="720"/>
          <w:docGrid w:linePitch="360"/>
        </w:sectPr>
      </w:pPr>
    </w:p>
    <w:p>
      <w:r>
        <w:rPr>
          <w:rFonts w:ascii="Georgia" w:hAnsi="Georgia"/>
          <w:b/>
          <w:color w:val="7C3AED"/>
          <w:sz w:val="28"/>
        </w:rPr>
        <w:t>Contents</w:t>
      </w:r>
    </w:p>
    <w:p>
      <w:r>
        <w:fldChar w:fldCharType="begin"/>
      </w:r>
      <w:r>
        <w:instrText xml:space="preserve"> TOC \o "1-3" \h \z \u </w:instrText>
      </w:r>
      <w:r>
        <w:fldChar w:fldCharType="separate"/>
      </w:r>
      <w:r>
        <w:fldChar w:fldCharType="end"/>
      </w:r>
    </w:p>
    <w:p>
      <w:r>
        <w:br w:type="page"/>
      </w:r>
    </w:p>
    <w:p>
      <w:pPr>
        <w:ind w:left="454"/>
        <w:shd w:val="clear" w:color="auto" w:fill="FAFAFB"/>
      </w:pPr>
      <w:r>
        <w:rPr>
          <w:i/>
        </w:rPr>
        <w:t>An hour of deliberate practice is worth several hours of following along. The difference is</w:t>
      </w:r>
    </w:p>
    <w:p>
      <w:pPr>
        <w:ind w:left="454"/>
        <w:shd w:val="clear" w:color="auto" w:fill="FAFAFB"/>
      </w:pPr>
      <w:r>
        <w:rPr>
          <w:i/>
        </w:rPr>
        <w:t>almost entirely in the four habits below.</w:t>
      </w:r>
    </w:p>
    <w:p>
      <w:r>
        <w:rPr>
          <w:b/>
        </w:rPr>
        <w:t>Exercise:</w:t>
      </w:r>
      <w:r>
        <w:t xml:space="preserve"> _______________  </w:t>
      </w:r>
      <w:r>
        <w:rPr>
          <w:b/>
        </w:rPr>
        <w:t>Date:</w:t>
      </w:r>
      <w:r>
        <w:t xml:space="preserve"> _______  </w:t>
      </w:r>
      <w:r>
        <w:rPr>
          <w:b/>
        </w:rPr>
        <w:t>Time budget:</w:t>
      </w:r>
      <w:r>
        <w:t xml:space="preserve"> ____</w:t>
      </w:r>
    </w:p>
    <w:p>
      <w:pPr>
        <w:pStyle w:val="Heading1"/>
      </w:pPr>
      <w:r>
        <w:t>1. Before starting</w:t>
      </w:r>
    </w:p>
    <w:p>
      <w:pPr>
        <w:pStyle w:val="ListBullet"/>
      </w:pPr>
      <w:r>
        <w:t xml:space="preserve">[ ] I have read what the exercise is testing, and </w:t>
      </w:r>
      <w:r>
        <w:rPr>
          <w:b/>
        </w:rPr>
        <w:t>the trap it is built around</w:t>
      </w:r>
    </w:p>
    <w:p>
      <w:pPr>
        <w:pStyle w:val="ListBullet"/>
      </w:pPr>
      <w:r>
        <w:t xml:space="preserve">[ ] I have </w:t>
      </w:r>
      <w:r>
        <w:rPr>
          <w:b/>
        </w:rPr>
        <w:t>written down what I expect to happen</w:t>
      </w:r>
    </w:p>
    <w:p>
      <w:pPr>
        <w:pStyle w:val="ListBullet"/>
      </w:pPr>
      <w:r>
        <w:t>[ ] I have written down how I will know whether it worked</w:t>
      </w:r>
    </w:p>
    <w:p>
      <w:pPr>
        <w:pStyle w:val="ListBullet"/>
      </w:pPr>
      <w:r>
        <w:t>[ ] I am doing this in a place I can safely break, see</w:t>
      </w:r>
    </w:p>
    <w:p>
      <w:r>
        <w:rPr>
          <w:color w:val="7C3AED"/>
          <w:u w:val="single"/>
        </w:rPr>
        <w:t>Lab setup</w:t>
      </w:r>
      <w:r>
        <w:rPr>
          <w:sz w:val="17"/>
        </w:rPr>
        <w:t xml:space="preserve"> (bvlogic.com/academy/labs/checklist/)</w:t>
      </w:r>
    </w:p>
    <w:p>
      <w:pPr>
        <w:pStyle w:val="ListBullet"/>
      </w:pPr>
      <w:r>
        <w:t>[ ] I am not going to look at a solution first</w:t>
      </w:r>
    </w:p>
    <w:p>
      <w:r>
        <w:rPr>
          <w:b/>
        </w:rPr>
        <w:t>My prediction:</w:t>
      </w:r>
      <w:r>
        <w:t xml:space="preserve"> _______________</w:t>
      </w:r>
    </w:p>
    <w:p>
      <w:r>
        <w:t>Skipping the prediction is what turns practice into reading. The gap between what you expected and what happened is the entire learning event; without a written prediction there is no gap to notice.</w:t>
      </w:r>
    </w:p>
    <w:p>
      <w:pPr>
        <w:pStyle w:val="Heading1"/>
      </w:pPr>
      <w:r>
        <w:t>2. During</w:t>
      </w:r>
    </w:p>
    <w:p>
      <w:pPr>
        <w:pStyle w:val="ListBullet"/>
      </w:pPr>
      <w:r>
        <w:t>[ ] I attempt it before searching</w:t>
      </w:r>
    </w:p>
    <w:p>
      <w:pPr>
        <w:pStyle w:val="ListBullet"/>
      </w:pPr>
      <w:r>
        <w:t xml:space="preserve">[ ] When stuck, I read the </w:t>
      </w:r>
      <w:r>
        <w:rPr>
          <w:b/>
        </w:rPr>
        <w:t>actual error message</w:t>
      </w:r>
      <w:r>
        <w:t xml:space="preserve"> properly before anything else</w:t>
      </w:r>
    </w:p>
    <w:p>
      <w:pPr>
        <w:pStyle w:val="ListBullet"/>
      </w:pPr>
      <w:r>
        <w:t>[ ] Then the documentation, then a search</w:t>
      </w:r>
    </w:p>
    <w:p>
      <w:pPr>
        <w:pStyle w:val="ListBullet"/>
      </w:pPr>
      <w:r>
        <w:t>[ ] I change one thing at a time</w:t>
      </w:r>
    </w:p>
    <w:p>
      <w:pPr>
        <w:pStyle w:val="ListBullet"/>
      </w:pPr>
      <w:r>
        <w:t>[ ] I note what I tried that did not work</w:t>
      </w:r>
    </w:p>
    <w:p>
      <w:r>
        <w:t>Changing three things and finding it works teaches nothing, because you do not know which change mattered. That is the most common way an hour produces no understanding.</w:t>
      </w:r>
    </w:p>
    <w:p>
      <w:pPr>
        <w:pStyle w:val="Heading1"/>
      </w:pPr>
      <w:r>
        <w:t>3. Hit the trap</w:t>
      </w:r>
    </w:p>
    <w:p>
      <w:pPr>
        <w:pStyle w:val="ListBullet"/>
      </w:pPr>
      <w:r>
        <w:t>[ ] I hit the trap the exercise was built around</w:t>
      </w:r>
    </w:p>
    <w:p>
      <w:pPr>
        <w:pStyle w:val="ListBullet"/>
      </w:pPr>
      <w:r>
        <w:t>[ ] If I did not, I check whether I actually did the exercise as written</w:t>
      </w:r>
    </w:p>
    <w:p>
      <w:pPr>
        <w:pStyle w:val="ListBullet"/>
      </w:pPr>
      <w:r>
        <w:t xml:space="preserve">[ ] I understand </w:t>
      </w:r>
      <w:r>
        <w:rPr>
          <w:b/>
        </w:rPr>
        <w:t>why</w:t>
      </w:r>
      <w:r>
        <w:t xml:space="preserve"> it is a trap, not just how to avoid it</w:t>
      </w:r>
    </w:p>
    <w:p>
      <w:r>
        <w:t>Not hitting the trap usually means the exercise was misread or short-cut. Getting a working result without meeting the difficulty is not success: it means the difficulty is still ahead of you, in production.</w:t>
      </w:r>
    </w:p>
    <w:p>
      <w:pPr>
        <w:pStyle w:val="Heading1"/>
      </w:pPr>
      <w:r>
        <w:t>4. Diagnose, do not reset</w:t>
      </w:r>
    </w:p>
    <w:p>
      <w:pPr>
        <w:pStyle w:val="ListBullet"/>
      </w:pPr>
      <w:r>
        <w:t>[ ] When something broke, I investigated before fixing</w:t>
      </w:r>
    </w:p>
    <w:p>
      <w:pPr>
        <w:pStyle w:val="ListBullet"/>
      </w:pPr>
      <w:r>
        <w:t>[ ] I can state the cause, not just the fix</w:t>
      </w:r>
    </w:p>
    <w:p>
      <w:pPr>
        <w:pStyle w:val="ListBullet"/>
      </w:pPr>
      <w:r>
        <w:t>[ ] I did not delete and start again to make the problem disappear</w:t>
      </w:r>
    </w:p>
    <w:p>
      <w:r>
        <w:t>Resetting removes the symptom and the lesson together. Sitting with a broken state is uncomfortable and is where the transferable skill is built.</w:t>
      </w:r>
    </w:p>
    <w:p>
      <w:pPr>
        <w:pStyle w:val="Heading1"/>
      </w:pPr>
      <w:r>
        <w:t>5. After: the three questions</w:t>
      </w:r>
    </w:p>
    <w:p>
      <w:r>
        <w:rPr>
          <w:b/>
        </w:rPr>
        <w:t>Did I hit the trap?</w:t>
      </w:r>
      <w:r>
        <w:t xml:space="preserve"> yes / no</w:t>
      </w:r>
    </w:p>
    <w:p>
      <w:r>
        <w:rPr>
          <w:b/>
        </w:rPr>
        <w:t>Can I explain the result to someone who will push back?</w:t>
      </w:r>
      <w:r>
        <w:t xml:space="preserve"> If the explanation is "it works now", the diagnosis was skipped.</w:t>
      </w:r>
    </w:p>
    <w:p>
      <w:r>
        <w:rPr>
          <w:b/>
        </w:rPr>
        <w:t>Would I do it the same way under pressure at 3am?</w:t>
      </w:r>
      <w:r>
        <w:t xml:space="preserve"> These exercises are chosen because their lessons surface during incidents, not during development.</w:t>
      </w:r>
    </w:p>
    <w:p>
      <w:pPr>
        <w:pStyle w:val="Heading1"/>
      </w:pPr>
      <w:r>
        <w:t>6. Capture</w:t>
      </w:r>
    </w:p>
    <w:p>
      <w:pPr>
        <w:pStyle w:val="ListBullet"/>
      </w:pPr>
      <w:r>
        <w:t>[ ] One line: what surprised me</w:t>
      </w:r>
    </w:p>
    <w:p>
      <w:pPr>
        <w:pStyle w:val="ListBullet"/>
      </w:pPr>
      <w:r>
        <w:t>[ ] Anything that would have saved me twenty minutes, written down</w:t>
      </w:r>
    </w:p>
    <w:p>
      <w:pPr>
        <w:pStyle w:val="ListBullet"/>
      </w:pPr>
      <w:r>
        <w:t>[ ] Code committed, even if it is throwaway</w:t>
      </w:r>
    </w:p>
    <w:p>
      <w:pPr>
        <w:pStyle w:val="ListBullet"/>
      </w:pPr>
      <w:r>
        <w:t>[ ] If this relates to real work, I have noted where to apply it</w:t>
      </w:r>
    </w:p>
    <w:p>
      <w:r>
        <w:rPr>
          <w:b/>
        </w:rPr>
        <w:t>What surprised me:</w:t>
      </w:r>
      <w:r>
        <w:t xml:space="preserve"> _______________</w:t>
      </w:r>
    </w:p>
    <w:p>
      <w:r>
        <w:rPr>
          <w:b/>
        </w:rPr>
        <w:t>Where this applies at work:</w:t>
      </w:r>
      <w:r>
        <w:t xml:space="preserve"> _______________</w:t>
      </w:r>
    </w:p>
    <w:p>
      <w:pPr>
        <w:pStyle w:val="Heading1"/>
      </w:pPr>
      <w:r>
        <w:t>7. Honest close</w:t>
      </w:r>
    </w:p>
    <w:p>
      <w:pPr>
        <w:pStyle w:val="ListBullet"/>
      </w:pPr>
      <w:r>
        <w:t>[ ] I finished it, or I recorded exactly where I stopped and why</w:t>
      </w:r>
    </w:p>
    <w:p>
      <w:pPr>
        <w:pStyle w:val="ListBullet"/>
      </w:pPr>
      <w:r>
        <w:t>[ ] I did not quietly skip the hard part</w:t>
      </w:r>
    </w:p>
    <w:p>
      <w:pPr>
        <w:pStyle w:val="ListBullet"/>
      </w:pPr>
      <w:r>
        <w:t>[ ] I know what I still cannot do</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r>
              <w:rPr>
                <w:b/>
                <w:sz w:val="18"/>
              </w:rPr>
              <w:t>Time taken vs budget</w:t>
            </w:r>
          </w:p>
        </w:tc>
        <w:tc>
          <w:tcPr>
            <w:tcW w:type="dxa" w:w="4706"/>
            <w:shd w:val="clear" w:color="auto" w:fill="F1EAFE"/>
          </w:tcPr>
          <w:p>
            <w:pPr>
              <w:spacing w:after="40"/>
            </w:pPr>
            <w:r>
              <w:rPr>
                <w:b/>
                <w:sz w:val="18"/>
              </w:rPr>
            </w:r>
          </w:p>
        </w:tc>
      </w:tr>
      <w:tr>
        <w:tc>
          <w:tcPr>
            <w:tcW w:type="dxa" w:w="4706"/>
          </w:tcPr>
          <w:p>
            <w:pPr>
              <w:spacing w:after="40"/>
            </w:pPr>
            <w:r>
              <w:rPr>
                <w:sz w:val="18"/>
              </w:rPr>
            </w:r>
            <w:r>
              <w:rPr>
                <w:sz w:val="18"/>
              </w:rPr>
              <w:t>Trap hit</w:t>
            </w:r>
          </w:p>
        </w:tc>
        <w:tc>
          <w:tcPr>
            <w:tcW w:type="dxa" w:w="4706"/>
          </w:tcPr>
          <w:p>
            <w:pPr>
              <w:spacing w:after="40"/>
            </w:pPr>
            <w:r>
              <w:rPr>
                <w:sz w:val="18"/>
              </w:rPr>
            </w:r>
            <w:r>
              <w:rPr>
                <w:sz w:val="18"/>
              </w:rPr>
              <w:t>yes / no</w:t>
            </w:r>
          </w:p>
        </w:tc>
      </w:tr>
      <w:tr>
        <w:tc>
          <w:tcPr>
            <w:tcW w:type="dxa" w:w="4706"/>
          </w:tcPr>
          <w:p>
            <w:pPr>
              <w:spacing w:after="40"/>
            </w:pPr>
            <w:r>
              <w:rPr>
                <w:sz w:val="18"/>
              </w:rPr>
            </w:r>
            <w:r>
              <w:rPr>
                <w:sz w:val="18"/>
              </w:rPr>
              <w:t>Learned something transferable</w:t>
            </w:r>
          </w:p>
        </w:tc>
        <w:tc>
          <w:tcPr>
            <w:tcW w:type="dxa" w:w="4706"/>
          </w:tcPr>
          <w:p>
            <w:pPr>
              <w:spacing w:after="40"/>
            </w:pPr>
            <w:r>
              <w:rPr>
                <w:sz w:val="18"/>
              </w:rPr>
            </w:r>
            <w:r>
              <w:rPr>
                <w:sz w:val="18"/>
              </w:rPr>
              <w:t>yes / no</w:t>
            </w:r>
          </w:p>
        </w:tc>
      </w:tr>
      <w:tr>
        <w:tc>
          <w:tcPr>
            <w:tcW w:type="dxa" w:w="4706"/>
          </w:tcPr>
          <w:p>
            <w:pPr>
              <w:spacing w:after="40"/>
            </w:pPr>
            <w:r>
              <w:rPr>
                <w:sz w:val="18"/>
              </w:rPr>
            </w:r>
            <w:r>
              <w:rPr>
                <w:sz w:val="18"/>
              </w:rPr>
              <w:t>Next exercise</w:t>
            </w:r>
          </w:p>
        </w:tc>
        <w:tc>
          <w:tcPr>
            <w:tcW w:type="dxa" w:w="4706"/>
          </w:tcPr>
          <w:p>
            <w:pPr>
              <w:spacing w:after="40"/>
            </w:pPr>
            <w:r>
              <w:rPr>
                <w:sz w:val="18"/>
              </w:rPr>
            </w:r>
          </w:p>
        </w:tc>
      </w:tr>
    </w:tbl>
    <w:p>
      <w:pPr>
        <w:spacing w:after="40"/>
      </w:pPr>
    </w:p>
    <w:p>
      <w:r>
        <w:t>An abandoned exercise with an honest note is more useful than a completed one where the hard part was skipped: because the note tells you where to come back to.</w:t>
      </w:r>
    </w:p>
    <w:p/>
    <w:p>
      <w:pPr>
        <w:pBdr>
          <w:bottom w:val="single" w:sz="4" w:space="4" w:color="7C3AED"/>
        </w:pBdr>
      </w:pPr>
    </w:p>
    <w:p>
      <w:r>
        <w:rPr>
          <w:b/>
          <w:color w:val="5B6471"/>
          <w:sz w:val="18"/>
        </w:rPr>
        <w:t>Notice</w:t>
      </w:r>
    </w:p>
    <w:p>
      <w:r>
        <w:rPr>
          <w:color w:val="5B6471"/>
          <w:sz w:val="17"/>
        </w:rPr>
        <w:t>This document is published by BvLogic as general reference material. It is provided for information only and is not professional, financial, legal or tax advice, and no liability is accepted for decisions taken on the basis of it. Figures in worked examples are illustrative unless a source is cited. Verify anything time-sensitive against the live version at bvlogic.com before relying on it.</w:t>
      </w:r>
    </w:p>
    <w:sectPr w:rsidR="00FC693F" w:rsidRPr="0006063C" w:rsidSect="00034616">
      <w:headerReference w:type="default" r:id="rId10"/>
      <w:footerReference w:type="default" r:id="rId11"/>
      <w:pgSz w:w="11906" w:h="16838"/>
      <w:pgMar w:top="1417" w:right="1247" w:bottom="1417" w:left="1247" w:header="680" w:footer="68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color w:val="5B6471"/>
        <w:sz w:val="16"/>
      </w:rPr>
      <w:t xml:space="preserve">Page </w:t>
    </w:r>
    <w:r>
      <w:fldChar w:fldCharType="begin"/>
    </w:r>
    <w:r>
      <w:instrText xml:space="preserve"> PAGE </w:instrText>
    </w:r>
    <w:r>
      <w:fldChar w:fldCharType="separate"/>
    </w:r>
    <w:r>
      <w:fldChar w:fldCharType="end"/>
    </w:r>
    <w:r>
      <w:rPr>
        <w:color w:val="5B6471"/>
        <w:sz w:val="16"/>
      </w:rPr>
      <w:t xml:space="preserve"> of </w:t>
    </w:r>
    <w:r>
      <w:fldChar w:fldCharType="begin"/>
    </w:r>
    <w:r>
      <w:instrText xml:space="preserve"> NUMPAGES </w:instrText>
    </w:r>
    <w:r>
      <w:fldChar w:fldCharType="separate"/>
    </w:r>
    <w:r>
      <w:fldChar w:fldCharType="end"/>
    </w:r>
    <w:r>
      <w:rPr>
        <w:color w:val="5B6471"/>
        <w:sz w:val="16"/>
      </w:rPr>
      <w:t xml:space="preserve">    |    bvlogic.com    |    (c) 2026 BvLogic</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4" w:space="4" w:color="7C3AED"/>
      </w:pBdr>
    </w:pPr>
    <w:r/>
    <w:r>
      <w:rPr>
        <w:color w:val="5B6471"/>
        <w:sz w:val="16"/>
      </w:rPr>
      <w:t>BvLogic  |  Practice Session Checklist</w:t>
    </w:r>
    <w:r>
      <w:tab/>
      <w:tab/>
    </w:r>
    <w:r>
      <w:rPr>
        <w:color w:val="5B6471"/>
        <w:sz w:val="16"/>
      </w:rPr>
      <w:t>Public</w:t>
    </w: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Calibri" w:hAnsi="Calibri"/>
      <w:color w:val="0F141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80"/>
      <w:outlineLvl w:val="0"/>
    </w:pPr>
    <w:rPr>
      <w:rFonts w:asciiTheme="majorHAnsi" w:eastAsiaTheme="majorEastAsia" w:hAnsiTheme="majorHAnsi" w:cstheme="majorBidi" w:ascii="Georgia" w:hAnsi="Georgia"/>
      <w:b/>
      <w:bCs/>
      <w:color w:val="7C3AED"/>
      <w:sz w:val="36"/>
      <w:szCs w:val="28"/>
    </w:rPr>
  </w:style>
  <w:style w:type="paragraph" w:styleId="Heading2">
    <w:name w:val="heading 2"/>
    <w:basedOn w:val="Normal"/>
    <w:next w:val="Normal"/>
    <w:link w:val="Heading2Char"/>
    <w:uiPriority w:val="9"/>
    <w:unhideWhenUsed/>
    <w:qFormat/>
    <w:rsid w:val="00FC693F"/>
    <w:pPr>
      <w:keepNext/>
      <w:keepLines/>
      <w:spacing w:before="280" w:after="80"/>
      <w:outlineLvl w:val="1"/>
    </w:pPr>
    <w:rPr>
      <w:rFonts w:asciiTheme="majorHAnsi" w:eastAsiaTheme="majorEastAsia" w:hAnsiTheme="majorHAnsi" w:cstheme="majorBidi" w:ascii="Georgia" w:hAnsi="Georgia"/>
      <w:b/>
      <w:bCs/>
      <w:color w:val="7C3AED"/>
      <w:sz w:val="28"/>
      <w:szCs w:val="26"/>
    </w:rPr>
  </w:style>
  <w:style w:type="paragraph" w:styleId="Heading3">
    <w:name w:val="heading 3"/>
    <w:basedOn w:val="Normal"/>
    <w:next w:val="Normal"/>
    <w:link w:val="Heading3Char"/>
    <w:uiPriority w:val="9"/>
    <w:unhideWhenUsed/>
    <w:qFormat/>
    <w:rsid w:val="00FC693F"/>
    <w:pPr>
      <w:keepNext/>
      <w:keepLines/>
      <w:spacing w:before="200" w:after="80"/>
      <w:outlineLvl w:val="2"/>
    </w:pPr>
    <w:rPr>
      <w:rFonts w:asciiTheme="majorHAnsi" w:eastAsiaTheme="majorEastAsia" w:hAnsiTheme="majorHAnsi" w:cstheme="majorBidi" w:ascii="Georgia" w:hAnsi="Georgia"/>
      <w:b/>
      <w:bCs/>
      <w:color w:val="0F141A"/>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Practice Session Checklist</dc:title>
  <dc:subject/>
  <dc:creator>BvLogic</dc:creator>
  <cp:keywords>BvLogic, Checklist, enterprise AI, Practice Session Checklist</cp:keywords>
  <dc:description/>
  <cp:lastModifiedBy/>
  <cp:revision>1</cp:revision>
  <dcterms:created xsi:type="dcterms:W3CDTF">2013-12-23T23:15:00Z</dcterms:created>
  <dcterms:modified xsi:type="dcterms:W3CDTF">2013-12-23T23:15:00Z</dcterms:modified>
  <cp:category>Checklist</cp:category>
  <dc:language>en-GB</dc:language>
</cp:coreProperties>
</file>