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Application Portfolio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BVL-4796C4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and figures are invented to show the shape of a review that leads to decisions. Copy the structure; count your own systems.</w:t>
      </w:r>
    </w:p>
    <w:p>
      <w:r>
        <w:t>Every application receives one of four dispositions. A review that ends without one per system is an inventory, and an inventory changes nothing.</w:t>
      </w:r>
    </w:p>
    <w:p>
      <w:r>
        <w:t>---</w:t>
      </w:r>
    </w:p>
    <w:p>
      <w:pPr>
        <w:pStyle w:val="Heading1"/>
      </w:pPr>
      <w:r>
        <w:t>Application portfolio review: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Organisation</w:t>
            </w:r>
          </w:p>
        </w:tc>
        <w:tc>
          <w:tcPr>
            <w:tcW w:type="dxa" w:w="4706"/>
            <w:shd w:val="clear" w:color="auto" w:fill="F1EAFE"/>
          </w:tcPr>
          <w:p>
            <w:pPr>
              <w:spacing w:after="40"/>
            </w:pPr>
            <w:r>
              <w:rPr>
                <w:b/>
                <w:sz w:val="18"/>
              </w:rPr>
            </w:r>
            <w:r>
              <w:rPr>
                <w:b/>
                <w:sz w:val="18"/>
              </w:rPr>
              <w:t>~900 staff, 4 countries</w:t>
            </w:r>
          </w:p>
        </w:tc>
      </w:tr>
      <w:tr>
        <w:tc>
          <w:tcPr>
            <w:tcW w:type="dxa" w:w="4706"/>
          </w:tcPr>
          <w:p>
            <w:pPr>
              <w:spacing w:after="40"/>
            </w:pPr>
            <w:r>
              <w:rPr>
                <w:sz w:val="18"/>
              </w:rPr>
            </w:r>
            <w:r>
              <w:rPr>
                <w:sz w:val="18"/>
              </w:rPr>
              <w:t>Applications found</w:t>
            </w:r>
          </w:p>
        </w:tc>
        <w:tc>
          <w:tcPr>
            <w:tcW w:type="dxa" w:w="4706"/>
          </w:tcPr>
          <w:p>
            <w:pPr>
              <w:spacing w:after="40"/>
            </w:pPr>
            <w:r>
              <w:rPr>
                <w:sz w:val="18"/>
              </w:rPr>
            </w:r>
            <w:r>
              <w:rPr>
                <w:b/>
                <w:sz w:val="18"/>
              </w:rPr>
              <w:t>147</w:t>
            </w:r>
          </w:p>
        </w:tc>
      </w:tr>
      <w:tr>
        <w:tc>
          <w:tcPr>
            <w:tcW w:type="dxa" w:w="4706"/>
          </w:tcPr>
          <w:p>
            <w:pPr>
              <w:spacing w:after="40"/>
            </w:pPr>
            <w:r>
              <w:rPr>
                <w:sz w:val="18"/>
              </w:rPr>
            </w:r>
            <w:r>
              <w:rPr>
                <w:sz w:val="18"/>
              </w:rPr>
              <w:t>Applications on the previous list</w:t>
            </w:r>
          </w:p>
        </w:tc>
        <w:tc>
          <w:tcPr>
            <w:tcW w:type="dxa" w:w="4706"/>
          </w:tcPr>
          <w:p>
            <w:pPr>
              <w:spacing w:after="40"/>
            </w:pPr>
            <w:r>
              <w:rPr>
                <w:sz w:val="18"/>
              </w:rPr>
            </w:r>
            <w:r>
              <w:rPr>
                <w:sz w:val="18"/>
              </w:rPr>
              <w:t>89</w:t>
            </w:r>
          </w:p>
        </w:tc>
      </w:tr>
      <w:tr>
        <w:tc>
          <w:tcPr>
            <w:tcW w:type="dxa" w:w="4706"/>
          </w:tcPr>
          <w:p>
            <w:pPr>
              <w:spacing w:after="40"/>
            </w:pPr>
            <w:r>
              <w:rPr>
                <w:sz w:val="18"/>
              </w:rPr>
            </w:r>
            <w:r>
              <w:rPr>
                <w:sz w:val="18"/>
              </w:rPr>
              <w:t>Annual application spend</w:t>
            </w:r>
          </w:p>
        </w:tc>
        <w:tc>
          <w:tcPr>
            <w:tcW w:type="dxa" w:w="4706"/>
          </w:tcPr>
          <w:p>
            <w:pPr>
              <w:spacing w:after="40"/>
            </w:pPr>
            <w:r>
              <w:rPr>
                <w:sz w:val="18"/>
              </w:rPr>
            </w:r>
            <w:r>
              <w:rPr>
                <w:sz w:val="18"/>
              </w:rPr>
              <w:t>£4.1M</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Finance records, network traffic, directory sign-ins, interviews</w:t>
            </w:r>
          </w:p>
        </w:tc>
      </w:tr>
    </w:tbl>
    <w:p>
      <w:pPr>
        <w:spacing w:after="40"/>
      </w:pPr>
    </w:p>
    <w:p>
      <w:pPr>
        <w:pStyle w:val="Heading1"/>
      </w:pPr>
      <w:r>
        <w:t>1. The count</w:t>
      </w:r>
    </w:p>
    <w:p>
      <w:r>
        <w:rPr>
          <w:b/>
        </w:rPr>
        <w:t>Fifty-eight systems were not on any list.</w:t>
      </w:r>
      <w:r>
        <w:t xml:space="preserve"> They were found in the expense ledger, in sign-in logs and by asking departments what they use.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How it was found</w:t>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Already on the register</w:t>
            </w:r>
          </w:p>
        </w:tc>
        <w:tc>
          <w:tcPr>
            <w:tcW w:type="dxa" w:w="4706"/>
          </w:tcPr>
          <w:p>
            <w:pPr>
              <w:spacing w:after="40"/>
            </w:pPr>
            <w:r>
              <w:rPr>
                <w:sz w:val="18"/>
              </w:rPr>
            </w:r>
            <w:r>
              <w:rPr>
                <w:sz w:val="18"/>
              </w:rPr>
              <w:t>89</w:t>
            </w:r>
          </w:p>
        </w:tc>
      </w:tr>
      <w:tr>
        <w:tc>
          <w:tcPr>
            <w:tcW w:type="dxa" w:w="4706"/>
          </w:tcPr>
          <w:p>
            <w:pPr>
              <w:spacing w:after="40"/>
            </w:pPr>
            <w:r>
              <w:rPr>
                <w:sz w:val="18"/>
              </w:rPr>
            </w:r>
            <w:r>
              <w:rPr>
                <w:sz w:val="18"/>
              </w:rPr>
              <w:t>Expense records, bought on a card</w:t>
            </w:r>
          </w:p>
        </w:tc>
        <w:tc>
          <w:tcPr>
            <w:tcW w:type="dxa" w:w="4706"/>
          </w:tcPr>
          <w:p>
            <w:pPr>
              <w:spacing w:after="40"/>
            </w:pPr>
            <w:r>
              <w:rPr>
                <w:sz w:val="18"/>
              </w:rPr>
            </w:r>
            <w:r>
              <w:rPr>
                <w:sz w:val="18"/>
              </w:rPr>
              <w:t>31</w:t>
            </w:r>
          </w:p>
        </w:tc>
      </w:tr>
      <w:tr>
        <w:tc>
          <w:tcPr>
            <w:tcW w:type="dxa" w:w="4706"/>
          </w:tcPr>
          <w:p>
            <w:pPr>
              <w:spacing w:after="40"/>
            </w:pPr>
            <w:r>
              <w:rPr>
                <w:sz w:val="18"/>
              </w:rPr>
            </w:r>
            <w:r>
              <w:rPr>
                <w:sz w:val="18"/>
              </w:rPr>
              <w:t>Sign-in logs, free tier, no cost trail</w:t>
            </w:r>
          </w:p>
        </w:tc>
        <w:tc>
          <w:tcPr>
            <w:tcW w:type="dxa" w:w="4706"/>
          </w:tcPr>
          <w:p>
            <w:pPr>
              <w:spacing w:after="40"/>
            </w:pPr>
            <w:r>
              <w:rPr>
                <w:sz w:val="18"/>
              </w:rPr>
            </w:r>
            <w:r>
              <w:rPr>
                <w:sz w:val="18"/>
              </w:rPr>
              <w:t>14</w:t>
            </w:r>
          </w:p>
        </w:tc>
      </w:tr>
      <w:tr>
        <w:tc>
          <w:tcPr>
            <w:tcW w:type="dxa" w:w="4706"/>
          </w:tcPr>
          <w:p>
            <w:pPr>
              <w:spacing w:after="40"/>
            </w:pPr>
            <w:r>
              <w:rPr>
                <w:sz w:val="18"/>
              </w:rPr>
            </w:r>
            <w:r>
              <w:rPr>
                <w:sz w:val="18"/>
              </w:rPr>
              <w:t>Named in interviews only</w:t>
            </w:r>
          </w:p>
        </w:tc>
        <w:tc>
          <w:tcPr>
            <w:tcW w:type="dxa" w:w="4706"/>
          </w:tcPr>
          <w:p>
            <w:pPr>
              <w:spacing w:after="40"/>
            </w:pPr>
            <w:r>
              <w:rPr>
                <w:sz w:val="18"/>
              </w:rPr>
            </w:r>
            <w:r>
              <w:rPr>
                <w:sz w:val="18"/>
              </w:rPr>
              <w:t>9</w:t>
            </w:r>
          </w:p>
        </w:tc>
      </w:tr>
      <w:tr>
        <w:tc>
          <w:tcPr>
            <w:tcW w:type="dxa" w:w="4706"/>
          </w:tcPr>
          <w:p>
            <w:pPr>
              <w:spacing w:after="40"/>
            </w:pPr>
            <w:r>
              <w:rPr>
                <w:sz w:val="18"/>
              </w:rPr>
            </w:r>
            <w:r>
              <w:rPr>
                <w:sz w:val="18"/>
              </w:rPr>
              <w:t>Network traffic to an unknown service</w:t>
            </w:r>
          </w:p>
        </w:tc>
        <w:tc>
          <w:tcPr>
            <w:tcW w:type="dxa" w:w="4706"/>
          </w:tcPr>
          <w:p>
            <w:pPr>
              <w:spacing w:after="40"/>
            </w:pPr>
            <w:r>
              <w:rPr>
                <w:sz w:val="18"/>
              </w:rPr>
            </w:r>
            <w:r>
              <w:rPr>
                <w:sz w:val="18"/>
              </w:rPr>
              <w:t>4</w:t>
            </w:r>
          </w:p>
        </w:tc>
      </w:tr>
    </w:tbl>
    <w:p>
      <w:pPr>
        <w:spacing w:after="40"/>
      </w:pPr>
    </w:p>
    <w:p>
      <w:r>
        <w:t>The 14 free-tier systems are worth noting. They cost nothing, so no finance control saw them, and four hold customer personal data.</w:t>
      </w:r>
    </w:p>
    <w:p>
      <w:pPr>
        <w:pStyle w:val="Heading1"/>
      </w:pPr>
      <w:r>
        <w:t>2. Disposition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Systems</w:t>
            </w:r>
          </w:p>
        </w:tc>
        <w:tc>
          <w:tcPr>
            <w:tcW w:type="dxa" w:w="3137"/>
            <w:shd w:val="clear" w:color="auto" w:fill="F1EAFE"/>
          </w:tcPr>
          <w:p>
            <w:pPr>
              <w:spacing w:after="40"/>
            </w:pPr>
            <w:r>
              <w:rPr>
                <w:b/>
                <w:sz w:val="18"/>
              </w:rPr>
            </w:r>
            <w:r>
              <w:rPr>
                <w:b/>
                <w:sz w:val="18"/>
              </w:rPr>
              <w:t>Annual cost</w:t>
            </w:r>
          </w:p>
        </w:tc>
      </w:tr>
      <w:tr>
        <w:tc>
          <w:tcPr>
            <w:tcW w:type="dxa" w:w="3137"/>
          </w:tcPr>
          <w:p>
            <w:pPr>
              <w:spacing w:after="40"/>
            </w:pPr>
            <w:r>
              <w:rPr>
                <w:sz w:val="18"/>
              </w:rPr>
            </w:r>
            <w:r>
              <w:rPr>
                <w:b/>
                <w:sz w:val="18"/>
              </w:rPr>
              <w:t>Invest</w:t>
            </w:r>
            <w:r>
              <w:rPr>
                <w:sz w:val="18"/>
              </w:rPr>
              <w:t>, strategic, growing</w:t>
            </w:r>
          </w:p>
        </w:tc>
        <w:tc>
          <w:tcPr>
            <w:tcW w:type="dxa" w:w="3137"/>
          </w:tcPr>
          <w:p>
            <w:pPr>
              <w:spacing w:after="40"/>
            </w:pPr>
            <w:r>
              <w:rPr>
                <w:sz w:val="18"/>
              </w:rPr>
            </w:r>
            <w:r>
              <w:rPr>
                <w:sz w:val="18"/>
              </w:rPr>
              <w:t>18</w:t>
            </w:r>
          </w:p>
        </w:tc>
        <w:tc>
          <w:tcPr>
            <w:tcW w:type="dxa" w:w="3137"/>
          </w:tcPr>
          <w:p>
            <w:pPr>
              <w:spacing w:after="40"/>
            </w:pPr>
            <w:r>
              <w:rPr>
                <w:sz w:val="18"/>
              </w:rPr>
            </w:r>
            <w:r>
              <w:rPr>
                <w:sz w:val="18"/>
              </w:rPr>
              <w:t>£1.6M</w:t>
            </w:r>
          </w:p>
        </w:tc>
      </w:tr>
      <w:tr>
        <w:tc>
          <w:tcPr>
            <w:tcW w:type="dxa" w:w="3137"/>
          </w:tcPr>
          <w:p>
            <w:pPr>
              <w:spacing w:after="40"/>
            </w:pPr>
            <w:r>
              <w:rPr>
                <w:sz w:val="18"/>
              </w:rPr>
            </w:r>
            <w:r>
              <w:rPr>
                <w:b/>
                <w:sz w:val="18"/>
              </w:rPr>
              <w:t>Maintain</w:t>
            </w:r>
            <w:r>
              <w:rPr>
                <w:sz w:val="18"/>
              </w:rPr>
              <w:t>, fit for purpose, stable</w:t>
            </w:r>
          </w:p>
        </w:tc>
        <w:tc>
          <w:tcPr>
            <w:tcW w:type="dxa" w:w="3137"/>
          </w:tcPr>
          <w:p>
            <w:pPr>
              <w:spacing w:after="40"/>
            </w:pPr>
            <w:r>
              <w:rPr>
                <w:sz w:val="18"/>
              </w:rPr>
            </w:r>
            <w:r>
              <w:rPr>
                <w:sz w:val="18"/>
              </w:rPr>
              <w:t>61</w:t>
            </w:r>
          </w:p>
        </w:tc>
        <w:tc>
          <w:tcPr>
            <w:tcW w:type="dxa" w:w="3137"/>
          </w:tcPr>
          <w:p>
            <w:pPr>
              <w:spacing w:after="40"/>
            </w:pPr>
            <w:r>
              <w:rPr>
                <w:sz w:val="18"/>
              </w:rPr>
            </w:r>
            <w:r>
              <w:rPr>
                <w:sz w:val="18"/>
              </w:rPr>
              <w:t>£1.4M</w:t>
            </w:r>
          </w:p>
        </w:tc>
      </w:tr>
      <w:tr>
        <w:tc>
          <w:tcPr>
            <w:tcW w:type="dxa" w:w="3137"/>
          </w:tcPr>
          <w:p>
            <w:pPr>
              <w:spacing w:after="40"/>
            </w:pPr>
            <w:r>
              <w:rPr>
                <w:sz w:val="18"/>
              </w:rPr>
            </w:r>
            <w:r>
              <w:rPr>
                <w:b/>
                <w:sz w:val="18"/>
              </w:rPr>
              <w:t>Replace</w:t>
            </w:r>
            <w:r>
              <w:rPr>
                <w:sz w:val="18"/>
              </w:rPr>
              <w:t>, no longer adequate, or unsupported</w:t>
            </w:r>
          </w:p>
        </w:tc>
        <w:tc>
          <w:tcPr>
            <w:tcW w:type="dxa" w:w="3137"/>
          </w:tcPr>
          <w:p>
            <w:pPr>
              <w:spacing w:after="40"/>
            </w:pPr>
            <w:r>
              <w:rPr>
                <w:sz w:val="18"/>
              </w:rPr>
            </w:r>
            <w:r>
              <w:rPr>
                <w:sz w:val="18"/>
              </w:rPr>
              <w:t>24</w:t>
            </w:r>
          </w:p>
        </w:tc>
        <w:tc>
          <w:tcPr>
            <w:tcW w:type="dxa" w:w="3137"/>
          </w:tcPr>
          <w:p>
            <w:pPr>
              <w:spacing w:after="40"/>
            </w:pPr>
            <w:r>
              <w:rPr>
                <w:sz w:val="18"/>
              </w:rPr>
            </w:r>
            <w:r>
              <w:rPr>
                <w:sz w:val="18"/>
              </w:rPr>
              <w:t>£0.8M</w:t>
            </w:r>
          </w:p>
        </w:tc>
      </w:tr>
      <w:tr>
        <w:tc>
          <w:tcPr>
            <w:tcW w:type="dxa" w:w="3137"/>
          </w:tcPr>
          <w:p>
            <w:pPr>
              <w:spacing w:after="40"/>
            </w:pPr>
            <w:r>
              <w:rPr>
                <w:sz w:val="18"/>
              </w:rPr>
            </w:r>
            <w:r>
              <w:rPr>
                <w:b/>
                <w:sz w:val="18"/>
              </w:rPr>
              <w:t>Retire</w:t>
            </w:r>
            <w:r>
              <w:rPr>
                <w:sz w:val="18"/>
              </w:rPr>
              <w:t>, duplicate, unused, or superseded</w:t>
            </w:r>
          </w:p>
        </w:tc>
        <w:tc>
          <w:tcPr>
            <w:tcW w:type="dxa" w:w="3137"/>
          </w:tcPr>
          <w:p>
            <w:pPr>
              <w:spacing w:after="40"/>
            </w:pPr>
            <w:r>
              <w:rPr>
                <w:sz w:val="18"/>
              </w:rPr>
            </w:r>
            <w:r>
              <w:rPr>
                <w:sz w:val="18"/>
              </w:rPr>
              <w:t>44</w:t>
            </w:r>
          </w:p>
        </w:tc>
        <w:tc>
          <w:tcPr>
            <w:tcW w:type="dxa" w:w="3137"/>
          </w:tcPr>
          <w:p>
            <w:pPr>
              <w:spacing w:after="40"/>
            </w:pPr>
            <w:r>
              <w:rPr>
                <w:sz w:val="18"/>
              </w:rPr>
            </w:r>
            <w:r>
              <w:rPr>
                <w:sz w:val="18"/>
              </w:rPr>
              <w:t>£0.3M</w:t>
            </w:r>
          </w:p>
        </w:tc>
      </w:tr>
    </w:tbl>
    <w:p>
      <w:pPr>
        <w:spacing w:after="40"/>
      </w:pPr>
    </w:p>
    <w:p>
      <w:r>
        <w:rPr>
          <w:b/>
        </w:rPr>
        <w:t>Forty-four systems can be retired</w:t>
      </w:r>
      <w:r>
        <w:t>, and they are only 7% of the spend. That is the usual shape: the count is dramatic and the saving is modest. The value of retiring them is the integrations, the access reviews, the vendor assessments and the attack surface that go with them, not the licence fees.</w:t>
      </w:r>
    </w:p>
    <w:p>
      <w:pPr>
        <w:pStyle w:val="Heading1"/>
      </w:pPr>
      <w:r>
        <w:t>3. Duplication</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Capability</w:t>
            </w:r>
          </w:p>
        </w:tc>
        <w:tc>
          <w:tcPr>
            <w:tcW w:type="dxa" w:w="2353"/>
            <w:shd w:val="clear" w:color="auto" w:fill="F1EAFE"/>
          </w:tcPr>
          <w:p>
            <w:pPr>
              <w:spacing w:after="40"/>
            </w:pPr>
            <w:r>
              <w:rPr>
                <w:b/>
                <w:sz w:val="18"/>
              </w:rPr>
            </w:r>
            <w:r>
              <w:rPr>
                <w:b/>
                <w:sz w:val="18"/>
              </w:rPr>
              <w:t>Systems</w:t>
            </w:r>
          </w:p>
        </w:tc>
        <w:tc>
          <w:tcPr>
            <w:tcW w:type="dxa" w:w="2353"/>
            <w:shd w:val="clear" w:color="auto" w:fill="F1EAFE"/>
          </w:tcPr>
          <w:p>
            <w:pPr>
              <w:spacing w:after="40"/>
            </w:pPr>
            <w:r>
              <w:rPr>
                <w:b/>
                <w:sz w:val="18"/>
              </w:rPr>
            </w:r>
            <w:r>
              <w:rPr>
                <w:b/>
                <w:sz w:val="18"/>
              </w:rPr>
              <w:t>Annual cost</w:t>
            </w:r>
          </w:p>
        </w:tc>
        <w:tc>
          <w:tcPr>
            <w:tcW w:type="dxa" w:w="2353"/>
            <w:shd w:val="clear" w:color="auto" w:fill="F1EAFE"/>
          </w:tcPr>
          <w:p>
            <w:pPr>
              <w:spacing w:after="40"/>
            </w:pPr>
            <w:r>
              <w:rPr>
                <w:b/>
                <w:sz w:val="18"/>
              </w:rPr>
            </w:r>
            <w:r>
              <w:rPr>
                <w:b/>
                <w:sz w:val="18"/>
              </w:rPr>
              <w:t>Note</w:t>
            </w:r>
          </w:p>
        </w:tc>
      </w:tr>
      <w:tr>
        <w:tc>
          <w:tcPr>
            <w:tcW w:type="dxa" w:w="2353"/>
          </w:tcPr>
          <w:p>
            <w:pPr>
              <w:spacing w:after="40"/>
            </w:pPr>
            <w:r>
              <w:rPr>
                <w:sz w:val="18"/>
              </w:rPr>
            </w:r>
            <w:r>
              <w:rPr>
                <w:sz w:val="18"/>
              </w:rPr>
              <w:t>Customer relationship management</w:t>
            </w:r>
          </w:p>
        </w:tc>
        <w:tc>
          <w:tcPr>
            <w:tcW w:type="dxa" w:w="2353"/>
          </w:tcPr>
          <w:p>
            <w:pPr>
              <w:spacing w:after="40"/>
            </w:pPr>
            <w:r>
              <w:rPr>
                <w:sz w:val="18"/>
              </w:rPr>
            </w:r>
            <w:r>
              <w:rPr>
                <w:b/>
                <w:sz w:val="18"/>
              </w:rPr>
              <w:t>4</w:t>
            </w:r>
          </w:p>
        </w:tc>
        <w:tc>
          <w:tcPr>
            <w:tcW w:type="dxa" w:w="2353"/>
          </w:tcPr>
          <w:p>
            <w:pPr>
              <w:spacing w:after="40"/>
            </w:pPr>
            <w:r>
              <w:rPr>
                <w:sz w:val="18"/>
              </w:rPr>
            </w:r>
            <w:r>
              <w:rPr>
                <w:sz w:val="18"/>
              </w:rPr>
              <w:t>£410k</w:t>
            </w:r>
          </w:p>
        </w:tc>
        <w:tc>
          <w:tcPr>
            <w:tcW w:type="dxa" w:w="2353"/>
          </w:tcPr>
          <w:p>
            <w:pPr>
              <w:spacing w:after="40"/>
            </w:pPr>
            <w:r>
              <w:rPr>
                <w:sz w:val="18"/>
              </w:rPr>
            </w:r>
            <w:r>
              <w:rPr>
                <w:sz w:val="18"/>
              </w:rPr>
              <w:t>One per region, no shared data</w:t>
            </w:r>
          </w:p>
        </w:tc>
      </w:tr>
      <w:tr>
        <w:tc>
          <w:tcPr>
            <w:tcW w:type="dxa" w:w="2353"/>
          </w:tcPr>
          <w:p>
            <w:pPr>
              <w:spacing w:after="40"/>
            </w:pPr>
            <w:r>
              <w:rPr>
                <w:sz w:val="18"/>
              </w:rPr>
            </w:r>
            <w:r>
              <w:rPr>
                <w:sz w:val="18"/>
              </w:rPr>
              <w:t>File sharing</w:t>
            </w:r>
          </w:p>
        </w:tc>
        <w:tc>
          <w:tcPr>
            <w:tcW w:type="dxa" w:w="2353"/>
          </w:tcPr>
          <w:p>
            <w:pPr>
              <w:spacing w:after="40"/>
            </w:pPr>
            <w:r>
              <w:rPr>
                <w:sz w:val="18"/>
              </w:rPr>
            </w:r>
            <w:r>
              <w:rPr>
                <w:b/>
                <w:sz w:val="18"/>
              </w:rPr>
              <w:t>5</w:t>
            </w:r>
          </w:p>
        </w:tc>
        <w:tc>
          <w:tcPr>
            <w:tcW w:type="dxa" w:w="2353"/>
          </w:tcPr>
          <w:p>
            <w:pPr>
              <w:spacing w:after="40"/>
            </w:pPr>
            <w:r>
              <w:rPr>
                <w:sz w:val="18"/>
              </w:rPr>
            </w:r>
            <w:r>
              <w:rPr>
                <w:sz w:val="18"/>
              </w:rPr>
              <w:t>£96k</w:t>
            </w:r>
          </w:p>
        </w:tc>
        <w:tc>
          <w:tcPr>
            <w:tcW w:type="dxa" w:w="2353"/>
          </w:tcPr>
          <w:p>
            <w:pPr>
              <w:spacing w:after="40"/>
            </w:pPr>
            <w:r>
              <w:rPr>
                <w:sz w:val="18"/>
              </w:rPr>
            </w:r>
            <w:r>
              <w:rPr>
                <w:sz w:val="18"/>
              </w:rPr>
              <w:t>Three unsanctioned</w:t>
            </w:r>
          </w:p>
        </w:tc>
      </w:tr>
      <w:tr>
        <w:tc>
          <w:tcPr>
            <w:tcW w:type="dxa" w:w="2353"/>
          </w:tcPr>
          <w:p>
            <w:pPr>
              <w:spacing w:after="40"/>
            </w:pPr>
            <w:r>
              <w:rPr>
                <w:sz w:val="18"/>
              </w:rPr>
            </w:r>
            <w:r>
              <w:rPr>
                <w:sz w:val="18"/>
              </w:rPr>
              <w:t>Project tracking</w:t>
            </w:r>
          </w:p>
        </w:tc>
        <w:tc>
          <w:tcPr>
            <w:tcW w:type="dxa" w:w="2353"/>
          </w:tcPr>
          <w:p>
            <w:pPr>
              <w:spacing w:after="40"/>
            </w:pPr>
            <w:r>
              <w:rPr>
                <w:sz w:val="18"/>
              </w:rPr>
            </w:r>
            <w:r>
              <w:rPr>
                <w:b/>
                <w:sz w:val="18"/>
              </w:rPr>
              <w:t>6</w:t>
            </w:r>
          </w:p>
        </w:tc>
        <w:tc>
          <w:tcPr>
            <w:tcW w:type="dxa" w:w="2353"/>
          </w:tcPr>
          <w:p>
            <w:pPr>
              <w:spacing w:after="40"/>
            </w:pPr>
            <w:r>
              <w:rPr>
                <w:sz w:val="18"/>
              </w:rPr>
            </w:r>
            <w:r>
              <w:rPr>
                <w:sz w:val="18"/>
              </w:rPr>
              <w:t>£71k</w:t>
            </w:r>
          </w:p>
        </w:tc>
        <w:tc>
          <w:tcPr>
            <w:tcW w:type="dxa" w:w="2353"/>
          </w:tcPr>
          <w:p>
            <w:pPr>
              <w:spacing w:after="40"/>
            </w:pPr>
            <w:r>
              <w:rPr>
                <w:sz w:val="18"/>
              </w:rPr>
            </w:r>
            <w:r>
              <w:rPr>
                <w:sz w:val="18"/>
              </w:rPr>
              <w:t>One per department</w:t>
            </w:r>
          </w:p>
        </w:tc>
      </w:tr>
      <w:tr>
        <w:tc>
          <w:tcPr>
            <w:tcW w:type="dxa" w:w="2353"/>
          </w:tcPr>
          <w:p>
            <w:pPr>
              <w:spacing w:after="40"/>
            </w:pPr>
            <w:r>
              <w:rPr>
                <w:sz w:val="18"/>
              </w:rPr>
            </w:r>
            <w:r>
              <w:rPr>
                <w:sz w:val="18"/>
              </w:rPr>
              <w:t>Expense management</w:t>
            </w:r>
          </w:p>
        </w:tc>
        <w:tc>
          <w:tcPr>
            <w:tcW w:type="dxa" w:w="2353"/>
          </w:tcPr>
          <w:p>
            <w:pPr>
              <w:spacing w:after="40"/>
            </w:pPr>
            <w:r>
              <w:rPr>
                <w:sz w:val="18"/>
              </w:rPr>
            </w:r>
            <w:r>
              <w:rPr>
                <w:sz w:val="18"/>
              </w:rPr>
              <w:t>2</w:t>
            </w:r>
          </w:p>
        </w:tc>
        <w:tc>
          <w:tcPr>
            <w:tcW w:type="dxa" w:w="2353"/>
          </w:tcPr>
          <w:p>
            <w:pPr>
              <w:spacing w:after="40"/>
            </w:pPr>
            <w:r>
              <w:rPr>
                <w:sz w:val="18"/>
              </w:rPr>
            </w:r>
            <w:r>
              <w:rPr>
                <w:sz w:val="18"/>
              </w:rPr>
              <w:t>£54k</w:t>
            </w:r>
          </w:p>
        </w:tc>
        <w:tc>
          <w:tcPr>
            <w:tcW w:type="dxa" w:w="2353"/>
          </w:tcPr>
          <w:p>
            <w:pPr>
              <w:spacing w:after="40"/>
            </w:pPr>
            <w:r>
              <w:rPr>
                <w:sz w:val="18"/>
              </w:rPr>
            </w:r>
            <w:r>
              <w:rPr>
                <w:sz w:val="18"/>
              </w:rPr>
              <w:t>An acquisition, never merged</w:t>
            </w:r>
          </w:p>
        </w:tc>
      </w:tr>
      <w:tr>
        <w:tc>
          <w:tcPr>
            <w:tcW w:type="dxa" w:w="2353"/>
          </w:tcPr>
          <w:p>
            <w:pPr>
              <w:spacing w:after="40"/>
            </w:pPr>
            <w:r>
              <w:rPr>
                <w:sz w:val="18"/>
              </w:rPr>
            </w:r>
            <w:r>
              <w:rPr>
                <w:sz w:val="18"/>
              </w:rPr>
              <w:t>Video conferencing</w:t>
            </w:r>
          </w:p>
        </w:tc>
        <w:tc>
          <w:tcPr>
            <w:tcW w:type="dxa" w:w="2353"/>
          </w:tcPr>
          <w:p>
            <w:pPr>
              <w:spacing w:after="40"/>
            </w:pPr>
            <w:r>
              <w:rPr>
                <w:sz w:val="18"/>
              </w:rPr>
            </w:r>
            <w:r>
              <w:rPr>
                <w:sz w:val="18"/>
              </w:rPr>
              <w:t>3</w:t>
            </w:r>
          </w:p>
        </w:tc>
        <w:tc>
          <w:tcPr>
            <w:tcW w:type="dxa" w:w="2353"/>
          </w:tcPr>
          <w:p>
            <w:pPr>
              <w:spacing w:after="40"/>
            </w:pPr>
            <w:r>
              <w:rPr>
                <w:sz w:val="18"/>
              </w:rPr>
            </w:r>
            <w:r>
              <w:rPr>
                <w:sz w:val="18"/>
              </w:rPr>
              <w:t>£88k</w:t>
            </w:r>
          </w:p>
        </w:tc>
        <w:tc>
          <w:tcPr>
            <w:tcW w:type="dxa" w:w="2353"/>
          </w:tcPr>
          <w:p>
            <w:pPr>
              <w:spacing w:after="40"/>
            </w:pPr>
            <w:r>
              <w:rPr>
                <w:sz w:val="18"/>
              </w:rPr>
            </w:r>
            <w:r>
              <w:rPr>
                <w:sz w:val="18"/>
              </w:rPr>
              <w:t>Two are free tiers</w:t>
            </w:r>
          </w:p>
        </w:tc>
      </w:tr>
      <w:tr>
        <w:tc>
          <w:tcPr>
            <w:tcW w:type="dxa" w:w="2353"/>
          </w:tcPr>
          <w:p>
            <w:pPr>
              <w:spacing w:after="40"/>
            </w:pPr>
            <w:r>
              <w:rPr>
                <w:sz w:val="18"/>
              </w:rPr>
            </w:r>
            <w:r>
              <w:rPr>
                <w:sz w:val="18"/>
              </w:rPr>
              <w:t>Customer support ticketing</w:t>
            </w:r>
          </w:p>
        </w:tc>
        <w:tc>
          <w:tcPr>
            <w:tcW w:type="dxa" w:w="2353"/>
          </w:tcPr>
          <w:p>
            <w:pPr>
              <w:spacing w:after="40"/>
            </w:pPr>
            <w:r>
              <w:rPr>
                <w:sz w:val="18"/>
              </w:rPr>
            </w:r>
            <w:r>
              <w:rPr>
                <w:sz w:val="18"/>
              </w:rPr>
              <w:t>3</w:t>
            </w:r>
          </w:p>
        </w:tc>
        <w:tc>
          <w:tcPr>
            <w:tcW w:type="dxa" w:w="2353"/>
          </w:tcPr>
          <w:p>
            <w:pPr>
              <w:spacing w:after="40"/>
            </w:pPr>
            <w:r>
              <w:rPr>
                <w:sz w:val="18"/>
              </w:rPr>
            </w:r>
            <w:r>
              <w:rPr>
                <w:sz w:val="18"/>
              </w:rPr>
              <w:t>£120k</w:t>
            </w:r>
          </w:p>
        </w:tc>
        <w:tc>
          <w:tcPr>
            <w:tcW w:type="dxa" w:w="2353"/>
          </w:tcPr>
          <w:p>
            <w:pPr>
              <w:spacing w:after="40"/>
            </w:pPr>
            <w:r>
              <w:rPr>
                <w:sz w:val="18"/>
              </w:rPr>
            </w:r>
            <w:r>
              <w:rPr>
                <w:sz w:val="18"/>
              </w:rPr>
              <w:t>Sales, service and technical each have one</w:t>
            </w:r>
          </w:p>
        </w:tc>
      </w:tr>
    </w:tbl>
    <w:p>
      <w:pPr>
        <w:spacing w:after="40"/>
      </w:pPr>
    </w:p>
    <w:p>
      <w:r>
        <w:rPr>
          <w:b/>
        </w:rPr>
        <w:t>Four CRM systems is the finding with the largest consequence.</w:t>
      </w:r>
      <w:r>
        <w:t xml:space="preserve"> Not because of the £410k, but because "how many customers do we have" cannot currently be answered. Each system holds a different subset, the definitions differ, and reconciliation is a monthly manual exercise for two people.</w:t>
      </w:r>
    </w:p>
    <w:p>
      <w:r>
        <w:t>Six project tracking systems is a governance finding rather than a technology one: six departments each bought independently, each purchase was small enough to avoid review, and no step in the process asked whether one already existed.</w:t>
      </w:r>
    </w:p>
    <w:p>
      <w:pPr>
        <w:pStyle w:val="Heading1"/>
      </w:pPr>
      <w:r>
        <w:t>4. Ownership</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Systems</w:t>
            </w:r>
          </w:p>
        </w:tc>
      </w:tr>
      <w:tr>
        <w:tc>
          <w:tcPr>
            <w:tcW w:type="dxa" w:w="4706"/>
          </w:tcPr>
          <w:p>
            <w:pPr>
              <w:spacing w:after="40"/>
            </w:pPr>
            <w:r>
              <w:rPr>
                <w:sz w:val="18"/>
              </w:rPr>
            </w:r>
            <w:r>
              <w:rPr>
                <w:sz w:val="18"/>
              </w:rPr>
              <w:t>Named business owner and technical owner</w:t>
            </w:r>
          </w:p>
        </w:tc>
        <w:tc>
          <w:tcPr>
            <w:tcW w:type="dxa" w:w="4706"/>
          </w:tcPr>
          <w:p>
            <w:pPr>
              <w:spacing w:after="40"/>
            </w:pPr>
            <w:r>
              <w:rPr>
                <w:sz w:val="18"/>
              </w:rPr>
            </w:r>
            <w:r>
              <w:rPr>
                <w:sz w:val="18"/>
              </w:rPr>
              <w:t>71</w:t>
            </w:r>
          </w:p>
        </w:tc>
      </w:tr>
      <w:tr>
        <w:tc>
          <w:tcPr>
            <w:tcW w:type="dxa" w:w="4706"/>
          </w:tcPr>
          <w:p>
            <w:pPr>
              <w:spacing w:after="40"/>
            </w:pPr>
            <w:r>
              <w:rPr>
                <w:sz w:val="18"/>
              </w:rPr>
            </w:r>
            <w:r>
              <w:rPr>
                <w:sz w:val="18"/>
              </w:rPr>
              <w:t>Business owner only</w:t>
            </w:r>
          </w:p>
        </w:tc>
        <w:tc>
          <w:tcPr>
            <w:tcW w:type="dxa" w:w="4706"/>
          </w:tcPr>
          <w:p>
            <w:pPr>
              <w:spacing w:after="40"/>
            </w:pPr>
            <w:r>
              <w:rPr>
                <w:sz w:val="18"/>
              </w:rPr>
            </w:r>
            <w:r>
              <w:rPr>
                <w:sz w:val="18"/>
              </w:rPr>
              <w:t>38</w:t>
            </w:r>
          </w:p>
        </w:tc>
      </w:tr>
      <w:tr>
        <w:tc>
          <w:tcPr>
            <w:tcW w:type="dxa" w:w="4706"/>
          </w:tcPr>
          <w:p>
            <w:pPr>
              <w:spacing w:after="40"/>
            </w:pPr>
            <w:r>
              <w:rPr>
                <w:sz w:val="18"/>
              </w:rPr>
            </w:r>
            <w:r>
              <w:rPr>
                <w:sz w:val="18"/>
              </w:rPr>
              <w:t>Technical owner only</w:t>
            </w:r>
          </w:p>
        </w:tc>
        <w:tc>
          <w:tcPr>
            <w:tcW w:type="dxa" w:w="4706"/>
          </w:tcPr>
          <w:p>
            <w:pPr>
              <w:spacing w:after="40"/>
            </w:pPr>
            <w:r>
              <w:rPr>
                <w:sz w:val="18"/>
              </w:rPr>
            </w:r>
            <w:r>
              <w:rPr>
                <w:sz w:val="18"/>
              </w:rPr>
              <w:t>16</w:t>
            </w:r>
          </w:p>
        </w:tc>
      </w:tr>
      <w:tr>
        <w:tc>
          <w:tcPr>
            <w:tcW w:type="dxa" w:w="4706"/>
          </w:tcPr>
          <w:p>
            <w:pPr>
              <w:spacing w:after="40"/>
            </w:pPr>
            <w:r>
              <w:rPr>
                <w:sz w:val="18"/>
              </w:rPr>
            </w:r>
            <w:r>
              <w:rPr>
                <w:b/>
                <w:sz w:val="18"/>
              </w:rPr>
              <w:t>Neither</w:t>
            </w:r>
          </w:p>
        </w:tc>
        <w:tc>
          <w:tcPr>
            <w:tcW w:type="dxa" w:w="4706"/>
          </w:tcPr>
          <w:p>
            <w:pPr>
              <w:spacing w:after="40"/>
            </w:pPr>
            <w:r>
              <w:rPr>
                <w:sz w:val="18"/>
              </w:rPr>
            </w:r>
            <w:r>
              <w:rPr>
                <w:b/>
                <w:sz w:val="18"/>
              </w:rPr>
              <w:t>22</w:t>
            </w:r>
          </w:p>
        </w:tc>
      </w:tr>
    </w:tbl>
    <w:p>
      <w:pPr>
        <w:spacing w:after="40"/>
      </w:pPr>
    </w:p>
    <w:p>
      <w:r>
        <w:t xml:space="preserve">Of the 22 with no owner, </w:t>
      </w:r>
      <w:r>
        <w:rPr>
          <w:b/>
        </w:rPr>
        <w:t>9 are in daily use</w:t>
      </w:r>
      <w:r>
        <w:t>. Nobody is responsible for their contracts, their access reviews, their upgrades or their data.</w:t>
      </w:r>
    </w:p>
    <w:p>
      <w:r>
        <w:t>One of the nine processes payroll variations.</w:t>
      </w:r>
    </w:p>
    <w:p>
      <w:pPr>
        <w:pStyle w:val="Heading1"/>
      </w:pPr>
      <w:r>
        <w:t>5. Support and currency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Systems</w:t>
            </w:r>
          </w:p>
        </w:tc>
      </w:tr>
      <w:tr>
        <w:tc>
          <w:tcPr>
            <w:tcW w:type="dxa" w:w="4706"/>
          </w:tcPr>
          <w:p>
            <w:pPr>
              <w:spacing w:after="40"/>
            </w:pPr>
            <w:r>
              <w:rPr>
                <w:sz w:val="18"/>
              </w:rPr>
            </w:r>
            <w:r>
              <w:rPr>
                <w:sz w:val="18"/>
              </w:rPr>
              <w:t>Current version, supported</w:t>
            </w:r>
          </w:p>
        </w:tc>
        <w:tc>
          <w:tcPr>
            <w:tcW w:type="dxa" w:w="4706"/>
          </w:tcPr>
          <w:p>
            <w:pPr>
              <w:spacing w:after="40"/>
            </w:pPr>
            <w:r>
              <w:rPr>
                <w:sz w:val="18"/>
              </w:rPr>
            </w:r>
            <w:r>
              <w:rPr>
                <w:sz w:val="18"/>
              </w:rPr>
              <w:t>92</w:t>
            </w:r>
          </w:p>
        </w:tc>
      </w:tr>
      <w:tr>
        <w:tc>
          <w:tcPr>
            <w:tcW w:type="dxa" w:w="4706"/>
          </w:tcPr>
          <w:p>
            <w:pPr>
              <w:spacing w:after="40"/>
            </w:pPr>
            <w:r>
              <w:rPr>
                <w:sz w:val="18"/>
              </w:rPr>
            </w:r>
            <w:r>
              <w:rPr>
                <w:sz w:val="18"/>
              </w:rPr>
              <w:t>Supported, behind</w:t>
            </w:r>
          </w:p>
        </w:tc>
        <w:tc>
          <w:tcPr>
            <w:tcW w:type="dxa" w:w="4706"/>
          </w:tcPr>
          <w:p>
            <w:pPr>
              <w:spacing w:after="40"/>
            </w:pPr>
            <w:r>
              <w:rPr>
                <w:sz w:val="18"/>
              </w:rPr>
            </w:r>
            <w:r>
              <w:rPr>
                <w:sz w:val="18"/>
              </w:rPr>
              <w:t>31</w:t>
            </w:r>
          </w:p>
        </w:tc>
      </w:tr>
      <w:tr>
        <w:tc>
          <w:tcPr>
            <w:tcW w:type="dxa" w:w="4706"/>
          </w:tcPr>
          <w:p>
            <w:pPr>
              <w:spacing w:after="40"/>
            </w:pPr>
            <w:r>
              <w:rPr>
                <w:sz w:val="18"/>
              </w:rPr>
            </w:r>
            <w:r>
              <w:rPr>
                <w:b/>
                <w:sz w:val="18"/>
              </w:rPr>
              <w:t>Out of vendor support</w:t>
            </w:r>
          </w:p>
        </w:tc>
        <w:tc>
          <w:tcPr>
            <w:tcW w:type="dxa" w:w="4706"/>
          </w:tcPr>
          <w:p>
            <w:pPr>
              <w:spacing w:after="40"/>
            </w:pPr>
            <w:r>
              <w:rPr>
                <w:sz w:val="18"/>
              </w:rPr>
            </w:r>
            <w:r>
              <w:rPr>
                <w:b/>
                <w:sz w:val="18"/>
              </w:rPr>
              <w:t>19</w:t>
            </w:r>
          </w:p>
        </w:tc>
      </w:tr>
      <w:tr>
        <w:tc>
          <w:tcPr>
            <w:tcW w:type="dxa" w:w="4706"/>
          </w:tcPr>
          <w:p>
            <w:pPr>
              <w:spacing w:after="40"/>
            </w:pPr>
            <w:r>
              <w:rPr>
                <w:sz w:val="18"/>
              </w:rPr>
            </w:r>
            <w:r>
              <w:rPr>
                <w:b/>
                <w:sz w:val="18"/>
              </w:rPr>
              <w:t>Vendor no longer trading</w:t>
            </w:r>
          </w:p>
        </w:tc>
        <w:tc>
          <w:tcPr>
            <w:tcW w:type="dxa" w:w="4706"/>
          </w:tcPr>
          <w:p>
            <w:pPr>
              <w:spacing w:after="40"/>
            </w:pPr>
            <w:r>
              <w:rPr>
                <w:sz w:val="18"/>
              </w:rPr>
            </w:r>
            <w:r>
              <w:rPr>
                <w:b/>
                <w:sz w:val="18"/>
              </w:rPr>
              <w:t>5</w:t>
            </w:r>
          </w:p>
        </w:tc>
      </w:tr>
    </w:tbl>
    <w:p>
      <w:pPr>
        <w:spacing w:after="40"/>
      </w:pPr>
    </w:p>
    <w:p>
      <w:r>
        <w:t>The five orphaned systems have no route to a fix. One is the warehouse label printing system, which stops shipping when it fails. It has failed twice, and both times recovery depended on one person who has since retired and was contacted informally.</w:t>
      </w:r>
    </w:p>
    <w:p>
      <w:r>
        <w:t>That is not a technology risk. It is a business continuity risk with a technology cause, and it is reported as such.</w:t>
      </w:r>
    </w:p>
    <w:p>
      <w:pPr>
        <w:pStyle w:val="Heading1"/>
      </w:pPr>
      <w:r>
        <w:t>6. Integration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Documented integrations</w:t>
            </w:r>
          </w:p>
        </w:tc>
        <w:tc>
          <w:tcPr>
            <w:tcW w:type="dxa" w:w="4706"/>
          </w:tcPr>
          <w:p>
            <w:pPr>
              <w:spacing w:after="40"/>
            </w:pPr>
            <w:r>
              <w:rPr>
                <w:sz w:val="18"/>
              </w:rPr>
            </w:r>
            <w:r>
              <w:rPr>
                <w:sz w:val="18"/>
              </w:rPr>
              <w:t>61</w:t>
            </w:r>
          </w:p>
        </w:tc>
      </w:tr>
      <w:tr>
        <w:tc>
          <w:tcPr>
            <w:tcW w:type="dxa" w:w="4706"/>
          </w:tcPr>
          <w:p>
            <w:pPr>
              <w:spacing w:after="40"/>
            </w:pPr>
            <w:r>
              <w:rPr>
                <w:sz w:val="18"/>
              </w:rPr>
            </w:r>
            <w:r>
              <w:rPr>
                <w:b/>
                <w:sz w:val="18"/>
              </w:rPr>
              <w:t>Actually found</w:t>
            </w:r>
          </w:p>
        </w:tc>
        <w:tc>
          <w:tcPr>
            <w:tcW w:type="dxa" w:w="4706"/>
          </w:tcPr>
          <w:p>
            <w:pPr>
              <w:spacing w:after="40"/>
            </w:pPr>
            <w:r>
              <w:rPr>
                <w:sz w:val="18"/>
              </w:rPr>
            </w:r>
            <w:r>
              <w:rPr>
                <w:b/>
                <w:sz w:val="18"/>
              </w:rPr>
              <w:t>148</w:t>
            </w:r>
          </w:p>
        </w:tc>
      </w:tr>
      <w:tr>
        <w:tc>
          <w:tcPr>
            <w:tcW w:type="dxa" w:w="4706"/>
          </w:tcPr>
          <w:p>
            <w:pPr>
              <w:spacing w:after="40"/>
            </w:pPr>
            <w:r>
              <w:rPr>
                <w:sz w:val="18"/>
              </w:rPr>
            </w:r>
            <w:r>
              <w:rPr>
                <w:sz w:val="18"/>
              </w:rPr>
              <w:t>Point-to-point</w:t>
            </w:r>
          </w:p>
        </w:tc>
        <w:tc>
          <w:tcPr>
            <w:tcW w:type="dxa" w:w="4706"/>
          </w:tcPr>
          <w:p>
            <w:pPr>
              <w:spacing w:after="40"/>
            </w:pPr>
            <w:r>
              <w:rPr>
                <w:sz w:val="18"/>
              </w:rPr>
            </w:r>
            <w:r>
              <w:rPr>
                <w:sz w:val="18"/>
              </w:rPr>
              <w:t>121</w:t>
            </w:r>
          </w:p>
        </w:tc>
      </w:tr>
      <w:tr>
        <w:tc>
          <w:tcPr>
            <w:tcW w:type="dxa" w:w="4706"/>
          </w:tcPr>
          <w:p>
            <w:pPr>
              <w:spacing w:after="40"/>
            </w:pPr>
            <w:r>
              <w:rPr>
                <w:sz w:val="18"/>
              </w:rPr>
            </w:r>
            <w:r>
              <w:rPr>
                <w:sz w:val="18"/>
              </w:rPr>
              <w:t>Via the integration platform</w:t>
            </w:r>
          </w:p>
        </w:tc>
        <w:tc>
          <w:tcPr>
            <w:tcW w:type="dxa" w:w="4706"/>
          </w:tcPr>
          <w:p>
            <w:pPr>
              <w:spacing w:after="40"/>
            </w:pPr>
            <w:r>
              <w:rPr>
                <w:sz w:val="18"/>
              </w:rPr>
            </w:r>
            <w:r>
              <w:rPr>
                <w:sz w:val="18"/>
              </w:rPr>
              <w:t>27</w:t>
            </w:r>
          </w:p>
        </w:tc>
      </w:tr>
      <w:tr>
        <w:tc>
          <w:tcPr>
            <w:tcW w:type="dxa" w:w="4706"/>
          </w:tcPr>
          <w:p>
            <w:pPr>
              <w:spacing w:after="40"/>
            </w:pPr>
            <w:r>
              <w:rPr>
                <w:sz w:val="18"/>
              </w:rPr>
            </w:r>
            <w:r>
              <w:rPr>
                <w:b/>
                <w:sz w:val="18"/>
              </w:rPr>
              <w:t>File drops or scheduled exports</w:t>
            </w:r>
          </w:p>
        </w:tc>
        <w:tc>
          <w:tcPr>
            <w:tcW w:type="dxa" w:w="4706"/>
          </w:tcPr>
          <w:p>
            <w:pPr>
              <w:spacing w:after="40"/>
            </w:pPr>
            <w:r>
              <w:rPr>
                <w:sz w:val="18"/>
              </w:rPr>
            </w:r>
            <w:r>
              <w:rPr>
                <w:b/>
                <w:sz w:val="18"/>
              </w:rPr>
              <w:t>34</w:t>
            </w:r>
          </w:p>
        </w:tc>
      </w:tr>
      <w:tr>
        <w:tc>
          <w:tcPr>
            <w:tcW w:type="dxa" w:w="4706"/>
          </w:tcPr>
          <w:p>
            <w:pPr>
              <w:spacing w:after="40"/>
            </w:pPr>
            <w:r>
              <w:rPr>
                <w:sz w:val="18"/>
              </w:rPr>
            </w:r>
            <w:r>
              <w:rPr>
                <w:sz w:val="18"/>
              </w:rPr>
              <w:t>With a named owner</w:t>
            </w:r>
          </w:p>
        </w:tc>
        <w:tc>
          <w:tcPr>
            <w:tcW w:type="dxa" w:w="4706"/>
          </w:tcPr>
          <w:p>
            <w:pPr>
              <w:spacing w:after="40"/>
            </w:pPr>
            <w:r>
              <w:rPr>
                <w:sz w:val="18"/>
              </w:rPr>
            </w:r>
            <w:r>
              <w:rPr>
                <w:sz w:val="18"/>
              </w:rPr>
              <w:t>44</w:t>
            </w:r>
          </w:p>
        </w:tc>
      </w:tr>
    </w:tbl>
    <w:p>
      <w:pPr>
        <w:spacing w:after="40"/>
      </w:pPr>
    </w:p>
    <w:p>
      <w:r>
        <w:rPr>
          <w:b/>
        </w:rPr>
        <w:t>The organisation believed it had 61 integrations and has 148.</w:t>
      </w:r>
      <w:r>
        <w:t xml:space="preserve"> The 34 file-based ones are the most fragile: a scheduled export into a folder that another system reads, with no monitoring, no error handling, and no owner. Three have failed silently in the last year, one for six weeks.</w:t>
      </w:r>
    </w:p>
    <w:p>
      <w:pPr>
        <w:pStyle w:val="Heading1"/>
      </w:pPr>
      <w:r>
        <w:t>7. Concentration</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Supplier</w:t>
            </w:r>
          </w:p>
        </w:tc>
        <w:tc>
          <w:tcPr>
            <w:tcW w:type="dxa" w:w="2353"/>
            <w:shd w:val="clear" w:color="auto" w:fill="F1EAFE"/>
          </w:tcPr>
          <w:p>
            <w:pPr>
              <w:spacing w:after="40"/>
            </w:pPr>
            <w:r>
              <w:rPr>
                <w:b/>
                <w:sz w:val="18"/>
              </w:rPr>
            </w:r>
            <w:r>
              <w:rPr>
                <w:b/>
                <w:sz w:val="18"/>
              </w:rPr>
              <w:t>Systems</w:t>
            </w:r>
          </w:p>
        </w:tc>
        <w:tc>
          <w:tcPr>
            <w:tcW w:type="dxa" w:w="2353"/>
            <w:shd w:val="clear" w:color="auto" w:fill="F1EAFE"/>
          </w:tcPr>
          <w:p>
            <w:pPr>
              <w:spacing w:after="40"/>
            </w:pPr>
            <w:r>
              <w:rPr>
                <w:b/>
                <w:sz w:val="18"/>
              </w:rPr>
            </w:r>
            <w:r>
              <w:rPr>
                <w:b/>
                <w:sz w:val="18"/>
              </w:rPr>
              <w:t>Annual spend</w:t>
            </w:r>
          </w:p>
        </w:tc>
        <w:tc>
          <w:tcPr>
            <w:tcW w:type="dxa" w:w="2353"/>
            <w:shd w:val="clear" w:color="auto" w:fill="F1EAFE"/>
          </w:tcPr>
          <w:p>
            <w:pPr>
              <w:spacing w:after="40"/>
            </w:pPr>
            <w:r>
              <w:rPr>
                <w:b/>
                <w:sz w:val="18"/>
              </w:rPr>
            </w:r>
            <w:r>
              <w:rPr>
                <w:b/>
                <w:sz w:val="18"/>
              </w:rPr>
              <w:t>Exit time, estimated</w:t>
            </w:r>
          </w:p>
        </w:tc>
      </w:tr>
      <w:tr>
        <w:tc>
          <w:tcPr>
            <w:tcW w:type="dxa" w:w="2353"/>
          </w:tcPr>
          <w:p>
            <w:pPr>
              <w:spacing w:after="40"/>
            </w:pPr>
            <w:r>
              <w:rPr>
                <w:sz w:val="18"/>
              </w:rPr>
            </w:r>
            <w:r>
              <w:rPr>
                <w:sz w:val="18"/>
              </w:rPr>
              <w:t>Supplier A</w:t>
            </w:r>
          </w:p>
        </w:tc>
        <w:tc>
          <w:tcPr>
            <w:tcW w:type="dxa" w:w="2353"/>
          </w:tcPr>
          <w:p>
            <w:pPr>
              <w:spacing w:after="40"/>
            </w:pPr>
            <w:r>
              <w:rPr>
                <w:sz w:val="18"/>
              </w:rPr>
            </w:r>
            <w:r>
              <w:rPr>
                <w:sz w:val="18"/>
              </w:rPr>
              <w:t>14</w:t>
            </w:r>
          </w:p>
        </w:tc>
        <w:tc>
          <w:tcPr>
            <w:tcW w:type="dxa" w:w="2353"/>
          </w:tcPr>
          <w:p>
            <w:pPr>
              <w:spacing w:after="40"/>
            </w:pPr>
            <w:r>
              <w:rPr>
                <w:sz w:val="18"/>
              </w:rPr>
            </w:r>
            <w:r>
              <w:rPr>
                <w:sz w:val="18"/>
              </w:rPr>
              <w:t>£1.2M</w:t>
            </w:r>
          </w:p>
        </w:tc>
        <w:tc>
          <w:tcPr>
            <w:tcW w:type="dxa" w:w="2353"/>
          </w:tcPr>
          <w:p>
            <w:pPr>
              <w:spacing w:after="40"/>
            </w:pPr>
            <w:r>
              <w:rPr>
                <w:sz w:val="18"/>
              </w:rPr>
            </w:r>
            <w:r>
              <w:rPr>
                <w:sz w:val="18"/>
              </w:rPr>
              <w:t>18 months</w:t>
            </w:r>
          </w:p>
        </w:tc>
      </w:tr>
      <w:tr>
        <w:tc>
          <w:tcPr>
            <w:tcW w:type="dxa" w:w="2353"/>
          </w:tcPr>
          <w:p>
            <w:pPr>
              <w:spacing w:after="40"/>
            </w:pPr>
            <w:r>
              <w:rPr>
                <w:sz w:val="18"/>
              </w:rPr>
            </w:r>
            <w:r>
              <w:rPr>
                <w:sz w:val="18"/>
              </w:rPr>
              <w:t>Supplier B</w:t>
            </w:r>
          </w:p>
        </w:tc>
        <w:tc>
          <w:tcPr>
            <w:tcW w:type="dxa" w:w="2353"/>
          </w:tcPr>
          <w:p>
            <w:pPr>
              <w:spacing w:after="40"/>
            </w:pPr>
            <w:r>
              <w:rPr>
                <w:sz w:val="18"/>
              </w:rPr>
            </w:r>
            <w:r>
              <w:rPr>
                <w:sz w:val="18"/>
              </w:rPr>
              <w:t>9</w:t>
            </w:r>
          </w:p>
        </w:tc>
        <w:tc>
          <w:tcPr>
            <w:tcW w:type="dxa" w:w="2353"/>
          </w:tcPr>
          <w:p>
            <w:pPr>
              <w:spacing w:after="40"/>
            </w:pPr>
            <w:r>
              <w:rPr>
                <w:sz w:val="18"/>
              </w:rPr>
            </w:r>
            <w:r>
              <w:rPr>
                <w:sz w:val="18"/>
              </w:rPr>
              <w:t>£680k</w:t>
            </w:r>
          </w:p>
        </w:tc>
        <w:tc>
          <w:tcPr>
            <w:tcW w:type="dxa" w:w="2353"/>
          </w:tcPr>
          <w:p>
            <w:pPr>
              <w:spacing w:after="40"/>
            </w:pPr>
            <w:r>
              <w:rPr>
                <w:sz w:val="18"/>
              </w:rPr>
            </w:r>
            <w:r>
              <w:rPr>
                <w:sz w:val="18"/>
              </w:rPr>
              <w:t>12 months</w:t>
            </w:r>
          </w:p>
        </w:tc>
      </w:tr>
      <w:tr>
        <w:tc>
          <w:tcPr>
            <w:tcW w:type="dxa" w:w="2353"/>
          </w:tcPr>
          <w:p>
            <w:pPr>
              <w:spacing w:after="40"/>
            </w:pPr>
            <w:r>
              <w:rPr>
                <w:sz w:val="18"/>
              </w:rPr>
            </w:r>
            <w:r>
              <w:rPr>
                <w:sz w:val="18"/>
              </w:rPr>
              <w:t>Supplier C</w:t>
            </w:r>
          </w:p>
        </w:tc>
        <w:tc>
          <w:tcPr>
            <w:tcW w:type="dxa" w:w="2353"/>
          </w:tcPr>
          <w:p>
            <w:pPr>
              <w:spacing w:after="40"/>
            </w:pPr>
            <w:r>
              <w:rPr>
                <w:sz w:val="18"/>
              </w:rPr>
            </w:r>
            <w:r>
              <w:rPr>
                <w:sz w:val="18"/>
              </w:rPr>
              <w:t>6</w:t>
            </w:r>
          </w:p>
        </w:tc>
        <w:tc>
          <w:tcPr>
            <w:tcW w:type="dxa" w:w="2353"/>
          </w:tcPr>
          <w:p>
            <w:pPr>
              <w:spacing w:after="40"/>
            </w:pPr>
            <w:r>
              <w:rPr>
                <w:sz w:val="18"/>
              </w:rPr>
            </w:r>
            <w:r>
              <w:rPr>
                <w:sz w:val="18"/>
              </w:rPr>
              <w:t>£410k</w:t>
            </w:r>
          </w:p>
        </w:tc>
        <w:tc>
          <w:tcPr>
            <w:tcW w:type="dxa" w:w="2353"/>
          </w:tcPr>
          <w:p>
            <w:pPr>
              <w:spacing w:after="40"/>
            </w:pPr>
            <w:r>
              <w:rPr>
                <w:sz w:val="18"/>
              </w:rPr>
            </w:r>
            <w:r>
              <w:rPr>
                <w:sz w:val="18"/>
              </w:rPr>
              <w:t>9 months</w:t>
            </w:r>
          </w:p>
        </w:tc>
      </w:tr>
    </w:tbl>
    <w:p>
      <w:pPr>
        <w:spacing w:after="40"/>
      </w:pPr>
    </w:p>
    <w:p>
      <w:r>
        <w:t xml:space="preserve">Supplier A carries 29% of application spend and supports three capabilities including the system of record for customer data. </w:t>
      </w:r>
      <w:r>
        <w:rPr>
          <w:b/>
        </w:rPr>
        <w:t>No exit plan exists and the contract auto-renews with 90 days' notice</w:t>
      </w:r>
      <w:r>
        <w:t>, which is the number that matters: exit takes an estimated 18 months, and the decision window is 90 days.</w:t>
      </w:r>
    </w:p>
    <w:p>
      <w:pPr>
        <w:pStyle w:val="Heading1"/>
      </w:pPr>
      <w:r>
        <w:t>8. Recommendations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Priority</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1</w:t>
            </w:r>
          </w:p>
        </w:tc>
        <w:tc>
          <w:tcPr>
            <w:tcW w:type="dxa" w:w="4706"/>
          </w:tcPr>
          <w:p>
            <w:pPr>
              <w:spacing w:after="40"/>
            </w:pPr>
            <w:r>
              <w:rPr>
                <w:sz w:val="18"/>
              </w:rPr>
            </w:r>
            <w:r>
              <w:rPr>
                <w:sz w:val="18"/>
              </w:rPr>
              <w:t>Assign owners to the 22 unowned systems, starting with the 9 in daily use</w:t>
            </w:r>
          </w:p>
        </w:tc>
      </w:tr>
      <w:tr>
        <w:tc>
          <w:tcPr>
            <w:tcW w:type="dxa" w:w="4706"/>
          </w:tcPr>
          <w:p>
            <w:pPr>
              <w:spacing w:after="40"/>
            </w:pPr>
            <w:r>
              <w:rPr>
                <w:sz w:val="18"/>
              </w:rPr>
            </w:r>
            <w:r>
              <w:rPr>
                <w:sz w:val="18"/>
              </w:rPr>
              <w:t>2</w:t>
            </w:r>
          </w:p>
        </w:tc>
        <w:tc>
          <w:tcPr>
            <w:tcW w:type="dxa" w:w="4706"/>
          </w:tcPr>
          <w:p>
            <w:pPr>
              <w:spacing w:after="40"/>
            </w:pPr>
            <w:r>
              <w:rPr>
                <w:sz w:val="18"/>
              </w:rPr>
            </w:r>
            <w:r>
              <w:rPr>
                <w:sz w:val="18"/>
              </w:rPr>
              <w:t>Warehouse label printing, supplier gone, single point of failure, recovery depends on a retired employee. Replace or contract support.</w:t>
            </w:r>
          </w:p>
        </w:tc>
      </w:tr>
      <w:tr>
        <w:tc>
          <w:tcPr>
            <w:tcW w:type="dxa" w:w="4706"/>
          </w:tcPr>
          <w:p>
            <w:pPr>
              <w:spacing w:after="40"/>
            </w:pPr>
            <w:r>
              <w:rPr>
                <w:sz w:val="18"/>
              </w:rPr>
            </w:r>
            <w:r>
              <w:rPr>
                <w:sz w:val="18"/>
              </w:rPr>
              <w:t>3</w:t>
            </w:r>
          </w:p>
        </w:tc>
        <w:tc>
          <w:tcPr>
            <w:tcW w:type="dxa" w:w="4706"/>
          </w:tcPr>
          <w:p>
            <w:pPr>
              <w:spacing w:after="40"/>
            </w:pPr>
            <w:r>
              <w:rPr>
                <w:sz w:val="18"/>
              </w:rPr>
            </w:r>
            <w:r>
              <w:rPr>
                <w:sz w:val="18"/>
              </w:rPr>
              <w:t>Diarise the Supplier A notice date and start an exit assessment. 90 days against 18 months.</w:t>
            </w:r>
          </w:p>
        </w:tc>
      </w:tr>
      <w:tr>
        <w:tc>
          <w:tcPr>
            <w:tcW w:type="dxa" w:w="4706"/>
          </w:tcPr>
          <w:p>
            <w:pPr>
              <w:spacing w:after="40"/>
            </w:pPr>
            <w:r>
              <w:rPr>
                <w:sz w:val="18"/>
              </w:rPr>
            </w:r>
            <w:r>
              <w:rPr>
                <w:sz w:val="18"/>
              </w:rPr>
              <w:t>4</w:t>
            </w:r>
          </w:p>
        </w:tc>
        <w:tc>
          <w:tcPr>
            <w:tcW w:type="dxa" w:w="4706"/>
          </w:tcPr>
          <w:p>
            <w:pPr>
              <w:spacing w:after="40"/>
            </w:pPr>
            <w:r>
              <w:rPr>
                <w:sz w:val="18"/>
              </w:rPr>
            </w:r>
            <w:r>
              <w:rPr>
                <w:sz w:val="18"/>
              </w:rPr>
              <w:t>Retire the 44, in three waves, checking integrations before each</w:t>
            </w:r>
          </w:p>
        </w:tc>
      </w:tr>
      <w:tr>
        <w:tc>
          <w:tcPr>
            <w:tcW w:type="dxa" w:w="4706"/>
          </w:tcPr>
          <w:p>
            <w:pPr>
              <w:spacing w:after="40"/>
            </w:pPr>
            <w:r>
              <w:rPr>
                <w:sz w:val="18"/>
              </w:rPr>
            </w:r>
            <w:r>
              <w:rPr>
                <w:sz w:val="18"/>
              </w:rPr>
              <w:t>5</w:t>
            </w:r>
          </w:p>
        </w:tc>
        <w:tc>
          <w:tcPr>
            <w:tcW w:type="dxa" w:w="4706"/>
          </w:tcPr>
          <w:p>
            <w:pPr>
              <w:spacing w:after="40"/>
            </w:pPr>
            <w:r>
              <w:rPr>
                <w:sz w:val="18"/>
              </w:rPr>
            </w:r>
            <w:r>
              <w:rPr>
                <w:sz w:val="18"/>
              </w:rPr>
              <w:t>Consolidate CRM. Not for the £410k, so that the customer count has an answer.</w:t>
            </w:r>
          </w:p>
        </w:tc>
      </w:tr>
      <w:tr>
        <w:tc>
          <w:tcPr>
            <w:tcW w:type="dxa" w:w="4706"/>
          </w:tcPr>
          <w:p>
            <w:pPr>
              <w:spacing w:after="40"/>
            </w:pPr>
            <w:r>
              <w:rPr>
                <w:sz w:val="18"/>
              </w:rPr>
            </w:r>
            <w:r>
              <w:rPr>
                <w:sz w:val="18"/>
              </w:rPr>
              <w:t>6</w:t>
            </w:r>
          </w:p>
        </w:tc>
        <w:tc>
          <w:tcPr>
            <w:tcW w:type="dxa" w:w="4706"/>
          </w:tcPr>
          <w:p>
            <w:pPr>
              <w:spacing w:after="40"/>
            </w:pPr>
            <w:r>
              <w:rPr>
                <w:sz w:val="18"/>
              </w:rPr>
            </w:r>
            <w:r>
              <w:rPr>
                <w:sz w:val="18"/>
              </w:rPr>
              <w:t>Bring the 34 file-based integrations under monitoring, then convert the worst</w:t>
            </w:r>
          </w:p>
        </w:tc>
      </w:tr>
      <w:tr>
        <w:tc>
          <w:tcPr>
            <w:tcW w:type="dxa" w:w="4706"/>
          </w:tcPr>
          <w:p>
            <w:pPr>
              <w:spacing w:after="40"/>
            </w:pPr>
            <w:r>
              <w:rPr>
                <w:sz w:val="18"/>
              </w:rPr>
            </w:r>
            <w:r>
              <w:rPr>
                <w:sz w:val="18"/>
              </w:rPr>
              <w:t>7</w:t>
            </w:r>
          </w:p>
        </w:tc>
        <w:tc>
          <w:tcPr>
            <w:tcW w:type="dxa" w:w="4706"/>
          </w:tcPr>
          <w:p>
            <w:pPr>
              <w:spacing w:after="40"/>
            </w:pPr>
            <w:r>
              <w:rPr>
                <w:sz w:val="18"/>
              </w:rPr>
            </w:r>
            <w:r>
              <w:rPr>
                <w:sz w:val="18"/>
              </w:rPr>
              <w:t>Purchasing gate: any software purchase names the capability it serves and what already serves it</w:t>
            </w:r>
          </w:p>
        </w:tc>
      </w:tr>
    </w:tbl>
    <w:p>
      <w:pPr>
        <w:spacing w:after="40"/>
      </w:pPr>
    </w:p>
    <w:p>
      <w:r>
        <w:rPr>
          <w:b/>
        </w:rPr>
        <w:t>Recommendation 7 prevents recurrence.</w:t>
      </w:r>
      <w:r>
        <w:t xml:space="preserve"> Without it, the 44 retired systems are replaced by 44 new ones over the next four years by exactly the same mechanism.</w:t>
      </w:r>
    </w:p>
    <w:p>
      <w:r>
        <w:t>---</w:t>
      </w:r>
    </w:p>
    <w:p>
      <w:pPr>
        <w:pStyle w:val="Heading1"/>
      </w:pPr>
      <w:r>
        <w:t>Notes on using this format</w:t>
      </w:r>
    </w:p>
    <w:p>
      <w:r>
        <w:rPr>
          <w:b/>
        </w:rPr>
        <w:t>Find the systems, do not ask for them.</w:t>
      </w:r>
      <w:r>
        <w:t xml:space="preserve"> Fifty-eight of 147 were absent from the register, and they were found in expense records and sign-in logs rather than by asking.</w:t>
      </w:r>
    </w:p>
    <w:p>
      <w:r>
        <w:rPr>
          <w:b/>
        </w:rPr>
        <w:t>Give every system a disposition.</w:t>
      </w:r>
      <w:r>
        <w:t xml:space="preserve"> Four categories, one per system, no exceptions. An inventory without dispositions produces a document; dispositions produce a plan.</w:t>
      </w:r>
    </w:p>
    <w:p>
      <w:r>
        <w:rPr>
          <w:b/>
        </w:rPr>
        <w:t>Report duplication by capability, not by system count.</w:t>
      </w:r>
      <w:r>
        <w:t xml:space="preserve"> "Four CRMs" is a fact. "We cannot say how many customers we have" is the consequence, and it is what makes the case.</w:t>
      </w:r>
    </w:p>
    <w:p>
      <w:r>
        <w:rPr>
          <w:b/>
        </w:rPr>
        <w:t>Put exit time next to notice period.</w:t>
      </w:r>
      <w:r>
        <w:t xml:space="preserve"> Eighteen months against 90 days is the single most actionable line in this review.</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Application Portfolio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Portfolio Review: Sample</dc:title>
  <dc:subject/>
  <dc:creator>BvLogic</dc:creator>
  <cp:keywords>BvLogic, Report, enterprise AI, Application Portfolio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