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State of Enterprise AI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BVL-3B04C9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78% of Global 2000 companies had at least one AI workload in</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(CIOs, CTOs and heads of data deciding where AI budget goes).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State of Enterprise AI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Enterprise AI — email sequence outline</dc:title>
  <dc:subject/>
  <dc:creator>BvLogic</dc:creator>
  <cp:keywords>BvLogic, Campaign, enterprise AI, State of Enterprise AI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