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Engineering: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BVL-FAFBF5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Eight stages, two of which are human and six of which are not. The shape matters more than the tooling: a person decides at the front, a person is accountable at the back, and everything between is allowed to stop the change.</w:t>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PMO</w:t>
            </w:r>
          </w:p>
        </w:tc>
        <w:tc>
          <w:tcPr>
            <w:tcW w:type="dxa" w:w="3137"/>
          </w:tcPr>
          <w:p>
            <w:pPr>
              <w:spacing w:after="40"/>
            </w:pPr>
            <w:r>
              <w:rPr>
                <w:sz w:val="18"/>
              </w:rPr>
            </w:r>
            <w:r>
              <w:rPr>
                <w:sz w:val="18"/>
              </w:rPr>
              <w:t>A prioritised change, with an owner</w:t>
            </w:r>
          </w:p>
        </w:tc>
        <w:tc>
          <w:tcPr>
            <w:tcW w:type="dxa" w:w="3137"/>
          </w:tcPr>
          <w:p>
            <w:pPr>
              <w:spacing w:after="40"/>
            </w:pPr>
            <w:r>
              <w:rPr>
                <w:sz w:val="18"/>
              </w:rPr>
            </w:r>
            <w:r>
              <w:rPr>
                <w:sz w:val="18"/>
              </w:rPr>
              <w:t>Work, once the requirement is testable</w:t>
            </w:r>
          </w:p>
        </w:tc>
      </w:tr>
      <w:tr>
        <w:tc>
          <w:tcPr>
            <w:tcW w:type="dxa" w:w="3137"/>
          </w:tcPr>
          <w:p>
            <w:pPr>
              <w:spacing w:after="40"/>
            </w:pPr>
            <w:r>
              <w:rPr>
                <w:sz w:val="18"/>
              </w:rPr>
            </w:r>
            <w:r>
              <w:rPr>
                <w:sz w:val="18"/>
              </w:rPr>
              <w:t>Product</w:t>
            </w:r>
          </w:p>
        </w:tc>
        <w:tc>
          <w:tcPr>
            <w:tcW w:type="dxa" w:w="3137"/>
          </w:tcPr>
          <w:p>
            <w:pPr>
              <w:spacing w:after="40"/>
            </w:pPr>
            <w:r>
              <w:rPr>
                <w:sz w:val="18"/>
              </w:rPr>
            </w:r>
            <w:r>
              <w:rPr>
                <w:sz w:val="18"/>
              </w:rPr>
              <w:t>A requirement</w:t>
            </w:r>
          </w:p>
        </w:tc>
        <w:tc>
          <w:tcPr>
            <w:tcW w:type="dxa" w:w="3137"/>
          </w:tcPr>
          <w:p>
            <w:pPr>
              <w:spacing w:after="40"/>
            </w:pPr>
            <w:r>
              <w:rPr>
                <w:sz w:val="18"/>
              </w:rPr>
            </w:r>
            <w:r>
              <w:rPr>
                <w:sz w:val="18"/>
              </w:rPr>
              <w:t>An architecture question, if it touches a contract</w:t>
            </w:r>
          </w:p>
        </w:tc>
      </w:tr>
      <w:tr>
        <w:tc>
          <w:tcPr>
            <w:tcW w:type="dxa" w:w="3137"/>
          </w:tcPr>
          <w:p>
            <w:pPr>
              <w:spacing w:after="40"/>
            </w:pPr>
            <w:r>
              <w:rPr>
                <w:sz w:val="18"/>
              </w:rPr>
            </w:r>
            <w:r>
              <w:rPr>
                <w:sz w:val="18"/>
              </w:rPr>
              <w:t>Support</w:t>
            </w:r>
          </w:p>
        </w:tc>
        <w:tc>
          <w:tcPr>
            <w:tcW w:type="dxa" w:w="3137"/>
          </w:tcPr>
          <w:p>
            <w:pPr>
              <w:spacing w:after="40"/>
            </w:pPr>
            <w:r>
              <w:rPr>
                <w:sz w:val="18"/>
              </w:rPr>
            </w:r>
            <w:r>
              <w:rPr>
                <w:sz w:val="18"/>
              </w:rPr>
              <w:t>A defect</w:t>
            </w:r>
          </w:p>
        </w:tc>
        <w:tc>
          <w:tcPr>
            <w:tcW w:type="dxa" w:w="3137"/>
          </w:tcPr>
          <w:p>
            <w:pPr>
              <w:spacing w:after="40"/>
            </w:pPr>
            <w:r>
              <w:rPr>
                <w:sz w:val="18"/>
              </w:rPr>
            </w:r>
            <w:r>
              <w:rPr>
                <w:sz w:val="18"/>
              </w:rPr>
              <w:t>A reproduction, then a test, then a fix. In that order</w:t>
            </w:r>
          </w:p>
        </w:tc>
      </w:tr>
      <w:tr>
        <w:tc>
          <w:tcPr>
            <w:tcW w:type="dxa" w:w="3137"/>
          </w:tcPr>
          <w:p>
            <w:pPr>
              <w:spacing w:after="40"/>
            </w:pPr>
            <w:r>
              <w:rPr>
                <w:sz w:val="18"/>
              </w:rPr>
            </w:r>
            <w:r>
              <w:rPr>
                <w:sz w:val="18"/>
              </w:rPr>
              <w:t>Security</w:t>
            </w:r>
          </w:p>
        </w:tc>
        <w:tc>
          <w:tcPr>
            <w:tcW w:type="dxa" w:w="3137"/>
          </w:tcPr>
          <w:p>
            <w:pPr>
              <w:spacing w:after="40"/>
            </w:pPr>
            <w:r>
              <w:rPr>
                <w:sz w:val="18"/>
              </w:rPr>
            </w:r>
            <w:r>
              <w:rPr>
                <w:sz w:val="18"/>
              </w:rPr>
              <w:t>A finding</w:t>
            </w:r>
          </w:p>
        </w:tc>
        <w:tc>
          <w:tcPr>
            <w:tcW w:type="dxa" w:w="3137"/>
          </w:tcPr>
          <w:p>
            <w:pPr>
              <w:spacing w:after="40"/>
            </w:pPr>
            <w:r>
              <w:rPr>
                <w:sz w:val="18"/>
              </w:rPr>
            </w:r>
            <w:r>
              <w:rPr>
                <w:sz w:val="18"/>
              </w:rPr>
              <w:t>Either a fix now, or a recorded accepted risk with a date</w:t>
            </w:r>
          </w:p>
        </w:tc>
      </w:tr>
      <w:tr>
        <w:tc>
          <w:tcPr>
            <w:tcW w:type="dxa" w:w="3137"/>
          </w:tcPr>
          <w:p>
            <w:pPr>
              <w:spacing w:after="40"/>
            </w:pPr>
            <w:r>
              <w:rPr>
                <w:sz w:val="18"/>
              </w:rPr>
            </w:r>
            <w:r>
              <w:rPr>
                <w:sz w:val="18"/>
              </w:rPr>
              <w:t>AI Engineering and Product</w:t>
            </w:r>
          </w:p>
        </w:tc>
        <w:tc>
          <w:tcPr>
            <w:tcW w:type="dxa" w:w="3137"/>
          </w:tcPr>
          <w:p>
            <w:pPr>
              <w:spacing w:after="40"/>
            </w:pPr>
            <w:r>
              <w:rPr>
                <w:sz w:val="18"/>
              </w:rPr>
            </w:r>
            <w:r>
              <w:rPr>
                <w:sz w:val="18"/>
              </w:rPr>
              <w:t>The behaviour inside an AI feature</w:t>
            </w:r>
          </w:p>
        </w:tc>
        <w:tc>
          <w:tcPr>
            <w:tcW w:type="dxa" w:w="3137"/>
          </w:tcPr>
          <w:p>
            <w:pPr>
              <w:spacing w:after="40"/>
            </w:pPr>
            <w:r>
              <w:rPr>
                <w:sz w:val="18"/>
              </w:rPr>
            </w:r>
            <w:r>
              <w:rPr>
                <w:sz w:val="18"/>
              </w:rPr>
              <w:t>An interface contract, not an implementation</w:t>
            </w:r>
          </w:p>
        </w:tc>
      </w:tr>
      <w:tr>
        <w:tc>
          <w:tcPr>
            <w:tcW w:type="dxa" w:w="3137"/>
          </w:tcPr>
          <w:p>
            <w:pPr>
              <w:spacing w:after="40"/>
            </w:pPr>
            <w:r>
              <w:rPr>
                <w:sz w:val="18"/>
              </w:rPr>
            </w:r>
            <w:r>
              <w:rPr>
                <w:sz w:val="18"/>
              </w:rPr>
              <w:t>Monitoring</w:t>
            </w:r>
          </w:p>
        </w:tc>
        <w:tc>
          <w:tcPr>
            <w:tcW w:type="dxa" w:w="3137"/>
          </w:tcPr>
          <w:p>
            <w:pPr>
              <w:spacing w:after="40"/>
            </w:pPr>
            <w:r>
              <w:rPr>
                <w:sz w:val="18"/>
              </w:rPr>
            </w:r>
            <w:r>
              <w:rPr>
                <w:sz w:val="18"/>
              </w:rPr>
              <w:t>A regression signal</w:t>
            </w:r>
          </w:p>
        </w:tc>
        <w:tc>
          <w:tcPr>
            <w:tcW w:type="dxa" w:w="3137"/>
          </w:tcPr>
          <w:p>
            <w:pPr>
              <w:spacing w:after="40"/>
            </w:pPr>
            <w:r>
              <w:rPr>
                <w:sz w:val="18"/>
              </w:rPr>
            </w:r>
            <w:r>
              <w:rPr>
                <w:sz w:val="18"/>
              </w:rPr>
              <w:t>An incident or a ticket, depending on severity</w:t>
            </w:r>
          </w:p>
        </w:tc>
      </w:tr>
    </w:tbl>
    <w:p>
      <w:pPr>
        <w:spacing w:after="40"/>
      </w:pPr>
    </w:p>
    <w:p>
      <w:r>
        <w:rPr>
          <w:b/>
        </w:rPr>
        <w:t>A defect becomes a reproduction before it becomes a fix.</w:t>
      </w:r>
      <w:r>
        <w:t xml:space="preserve"> A fix without a reproduction is a change that correlates with the symptom disappearing, which is not the same thing and is discovered to be different at the worst possible moment.</w:t>
      </w:r>
    </w:p>
    <w:p>
      <w:pPr>
        <w:pStyle w:val="Heading1"/>
      </w:pPr>
      <w:r>
        <w:t>What ships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Production</w:t>
            </w:r>
          </w:p>
        </w:tc>
        <w:tc>
          <w:tcPr>
            <w:tcW w:type="dxa" w:w="4706"/>
          </w:tcPr>
          <w:p>
            <w:pPr>
              <w:spacing w:after="40"/>
            </w:pPr>
            <w:r>
              <w:rPr>
                <w:sz w:val="18"/>
              </w:rPr>
            </w:r>
            <w:r>
              <w:rPr>
                <w:sz w:val="18"/>
              </w:rPr>
              <w:t>Working software, behind gates that all passed</w:t>
            </w:r>
          </w:p>
        </w:tc>
      </w:tr>
      <w:tr>
        <w:tc>
          <w:tcPr>
            <w:tcW w:type="dxa" w:w="4706"/>
          </w:tcPr>
          <w:p>
            <w:pPr>
              <w:spacing w:after="40"/>
            </w:pPr>
            <w:r>
              <w:rPr>
                <w:sz w:val="18"/>
              </w:rPr>
            </w:r>
            <w:r>
              <w:rPr>
                <w:sz w:val="18"/>
              </w:rPr>
              <w:t>Knowledge Management</w:t>
            </w:r>
          </w:p>
        </w:tc>
        <w:tc>
          <w:tcPr>
            <w:tcW w:type="dxa" w:w="4706"/>
          </w:tcPr>
          <w:p>
            <w:pPr>
              <w:spacing w:after="40"/>
            </w:pPr>
            <w:r>
              <w:rPr>
                <w:sz w:val="18"/>
              </w:rPr>
            </w:r>
            <w:r>
              <w:rPr>
                <w:sz w:val="18"/>
              </w:rPr>
              <w:t>Architecture decision records, including the rejected options</w:t>
            </w:r>
          </w:p>
        </w:tc>
      </w:tr>
      <w:tr>
        <w:tc>
          <w:tcPr>
            <w:tcW w:type="dxa" w:w="4706"/>
          </w:tcPr>
          <w:p>
            <w:pPr>
              <w:spacing w:after="40"/>
            </w:pPr>
            <w:r>
              <w:rPr>
                <w:sz w:val="18"/>
              </w:rPr>
            </w:r>
            <w:r>
              <w:rPr>
                <w:sz w:val="18"/>
              </w:rPr>
              <w:t>Security</w:t>
            </w:r>
          </w:p>
        </w:tc>
        <w:tc>
          <w:tcPr>
            <w:tcW w:type="dxa" w:w="4706"/>
          </w:tcPr>
          <w:p>
            <w:pPr>
              <w:spacing w:after="40"/>
            </w:pPr>
            <w:r>
              <w:rPr>
                <w:sz w:val="18"/>
              </w:rPr>
            </w:r>
            <w:r>
              <w:rPr>
                <w:sz w:val="18"/>
              </w:rPr>
              <w:t>Scan results and any accepted risks, dated</w:t>
            </w:r>
          </w:p>
        </w:tc>
      </w:tr>
      <w:tr>
        <w:tc>
          <w:tcPr>
            <w:tcW w:type="dxa" w:w="4706"/>
          </w:tcPr>
          <w:p>
            <w:pPr>
              <w:spacing w:after="40"/>
            </w:pPr>
            <w:r>
              <w:rPr>
                <w:sz w:val="18"/>
              </w:rPr>
            </w:r>
            <w:r>
              <w:rPr>
                <w:sz w:val="18"/>
              </w:rPr>
              <w:t>Support</w:t>
            </w:r>
          </w:p>
        </w:tc>
        <w:tc>
          <w:tcPr>
            <w:tcW w:type="dxa" w:w="4706"/>
          </w:tcPr>
          <w:p>
            <w:pPr>
              <w:spacing w:after="40"/>
            </w:pPr>
            <w:r>
              <w:rPr>
                <w:sz w:val="18"/>
              </w:rPr>
            </w:r>
            <w:r>
              <w:rPr>
                <w:sz w:val="18"/>
              </w:rPr>
              <w:t>Release notes written from the diff</w:t>
            </w:r>
          </w:p>
        </w:tc>
      </w:tr>
      <w:tr>
        <w:tc>
          <w:tcPr>
            <w:tcW w:type="dxa" w:w="4706"/>
          </w:tcPr>
          <w:p>
            <w:pPr>
              <w:spacing w:after="40"/>
            </w:pPr>
            <w:r>
              <w:rPr>
                <w:sz w:val="18"/>
              </w:rPr>
            </w:r>
            <w:r>
              <w:rPr>
                <w:sz w:val="18"/>
              </w:rPr>
              <w:t>PMO</w:t>
            </w:r>
          </w:p>
        </w:tc>
        <w:tc>
          <w:tcPr>
            <w:tcW w:type="dxa" w:w="4706"/>
          </w:tcPr>
          <w:p>
            <w:pPr>
              <w:spacing w:after="40"/>
            </w:pPr>
            <w:r>
              <w:rPr>
                <w:sz w:val="18"/>
              </w:rPr>
            </w:r>
            <w:r>
              <w:rPr>
                <w:sz w:val="18"/>
              </w:rPr>
              <w:t>Delivery status measured in production, not in merged branches</w:t>
            </w:r>
          </w:p>
        </w:tc>
      </w:tr>
    </w:tbl>
    <w:p>
      <w:pPr>
        <w:spacing w:after="40"/>
      </w:pPr>
    </w:p>
    <w:p>
      <w:pPr>
        <w:pStyle w:val="Heading1"/>
      </w:pPr>
      <w:r>
        <w:t>The eight stages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Stage</w:t>
            </w:r>
          </w:p>
        </w:tc>
        <w:tc>
          <w:tcPr>
            <w:tcW w:type="dxa" w:w="3137"/>
            <w:shd w:val="clear" w:color="auto" w:fill="F1EAFE"/>
          </w:tcPr>
          <w:p>
            <w:pPr>
              <w:spacing w:after="40"/>
            </w:pPr>
            <w:r>
              <w:rPr>
                <w:b/>
                <w:sz w:val="18"/>
              </w:rPr>
            </w:r>
            <w:r>
              <w:rPr>
                <w:b/>
                <w:sz w:val="18"/>
              </w:rPr>
              <w:t>Who</w:t>
            </w:r>
          </w:p>
        </w:tc>
        <w:tc>
          <w:tcPr>
            <w:tcW w:type="dxa" w:w="3137"/>
            <w:shd w:val="clear" w:color="auto" w:fill="F1EAFE"/>
          </w:tcPr>
          <w:p>
            <w:pPr>
              <w:spacing w:after="40"/>
            </w:pPr>
            <w:r>
              <w:rPr>
                <w:b/>
                <w:sz w:val="18"/>
              </w:rPr>
            </w:r>
            <w:r>
              <w:rPr>
                <w:b/>
                <w:sz w:val="18"/>
              </w:rPr>
              <w:t>Can it stop the change?</w:t>
            </w:r>
          </w:p>
        </w:tc>
      </w:tr>
      <w:tr>
        <w:tc>
          <w:tcPr>
            <w:tcW w:type="dxa" w:w="3137"/>
          </w:tcPr>
          <w:p>
            <w:pPr>
              <w:spacing w:after="40"/>
            </w:pPr>
            <w:r>
              <w:rPr>
                <w:sz w:val="18"/>
              </w:rPr>
            </w:r>
            <w:r>
              <w:rPr>
                <w:sz w:val="18"/>
              </w:rPr>
              <w:t>Architecture decision</w:t>
            </w:r>
          </w:p>
        </w:tc>
        <w:tc>
          <w:tcPr>
            <w:tcW w:type="dxa" w:w="3137"/>
          </w:tcPr>
          <w:p>
            <w:pPr>
              <w:spacing w:after="40"/>
            </w:pPr>
            <w:r>
              <w:rPr>
                <w:sz w:val="18"/>
              </w:rPr>
            </w:r>
            <w:r>
              <w:rPr>
                <w:sz w:val="18"/>
              </w:rPr>
              <w:t>Human</w:t>
            </w:r>
          </w:p>
        </w:tc>
        <w:tc>
          <w:tcPr>
            <w:tcW w:type="dxa" w:w="3137"/>
          </w:tcPr>
          <w:p>
            <w:pPr>
              <w:spacing w:after="40"/>
            </w:pPr>
            <w:r>
              <w:rPr>
                <w:sz w:val="18"/>
              </w:rPr>
            </w:r>
            <w:r>
              <w:rPr>
                <w:sz w:val="18"/>
              </w:rPr>
              <w:t>Yes, and it is the cheapest place to stop one</w:t>
            </w:r>
          </w:p>
        </w:tc>
      </w:tr>
      <w:tr>
        <w:tc>
          <w:tcPr>
            <w:tcW w:type="dxa" w:w="3137"/>
          </w:tcPr>
          <w:p>
            <w:pPr>
              <w:spacing w:after="40"/>
            </w:pPr>
            <w:r>
              <w:rPr>
                <w:sz w:val="18"/>
              </w:rPr>
            </w:r>
            <w:r>
              <w:rPr>
                <w:sz w:val="18"/>
              </w:rPr>
              <w:t>Coding agent</w:t>
            </w:r>
          </w:p>
        </w:tc>
        <w:tc>
          <w:tcPr>
            <w:tcW w:type="dxa" w:w="3137"/>
          </w:tcPr>
          <w:p>
            <w:pPr>
              <w:spacing w:after="40"/>
            </w:pPr>
            <w:r>
              <w:rPr>
                <w:sz w:val="18"/>
              </w:rPr>
            </w:r>
            <w:r>
              <w:rPr>
                <w:sz w:val="18"/>
              </w:rPr>
              <w:t>Agent</w:t>
            </w:r>
          </w:p>
        </w:tc>
        <w:tc>
          <w:tcPr>
            <w:tcW w:type="dxa" w:w="3137"/>
          </w:tcPr>
          <w:p>
            <w:pPr>
              <w:spacing w:after="40"/>
            </w:pPr>
            <w:r>
              <w:rPr>
                <w:sz w:val="18"/>
              </w:rPr>
            </w:r>
            <w:r>
              <w:rPr>
                <w:sz w:val="18"/>
              </w:rPr>
              <w:t>Yes, by refusing an ambiguous requirement</w:t>
            </w:r>
          </w:p>
        </w:tc>
      </w:tr>
      <w:tr>
        <w:tc>
          <w:tcPr>
            <w:tcW w:type="dxa" w:w="3137"/>
          </w:tcPr>
          <w:p>
            <w:pPr>
              <w:spacing w:after="40"/>
            </w:pPr>
            <w:r>
              <w:rPr>
                <w:sz w:val="18"/>
              </w:rPr>
            </w:r>
            <w:r>
              <w:rPr>
                <w:sz w:val="18"/>
              </w:rPr>
              <w:t>AI code review</w:t>
            </w:r>
          </w:p>
        </w:tc>
        <w:tc>
          <w:tcPr>
            <w:tcW w:type="dxa" w:w="3137"/>
          </w:tcPr>
          <w:p>
            <w:pPr>
              <w:spacing w:after="40"/>
            </w:pPr>
            <w:r>
              <w:rPr>
                <w:sz w:val="18"/>
              </w:rPr>
            </w:r>
            <w:r>
              <w:rPr>
                <w:sz w:val="18"/>
              </w:rPr>
              <w:t>Agent</w:t>
            </w:r>
          </w:p>
        </w:tc>
        <w:tc>
          <w:tcPr>
            <w:tcW w:type="dxa" w:w="3137"/>
          </w:tcPr>
          <w:p>
            <w:pPr>
              <w:spacing w:after="40"/>
            </w:pPr>
            <w:r>
              <w:rPr>
                <w:sz w:val="18"/>
              </w:rPr>
            </w:r>
            <w:r>
              <w:rPr>
                <w:sz w:val="18"/>
              </w:rPr>
              <w:t>Yes</w:t>
            </w:r>
          </w:p>
        </w:tc>
      </w:tr>
      <w:tr>
        <w:tc>
          <w:tcPr>
            <w:tcW w:type="dxa" w:w="3137"/>
          </w:tcPr>
          <w:p>
            <w:pPr>
              <w:spacing w:after="40"/>
            </w:pPr>
            <w:r>
              <w:rPr>
                <w:sz w:val="18"/>
              </w:rPr>
            </w:r>
            <w:r>
              <w:rPr>
                <w:sz w:val="18"/>
              </w:rPr>
              <w:t>Automated testing</w:t>
            </w:r>
          </w:p>
        </w:tc>
        <w:tc>
          <w:tcPr>
            <w:tcW w:type="dxa" w:w="3137"/>
          </w:tcPr>
          <w:p>
            <w:pPr>
              <w:spacing w:after="40"/>
            </w:pPr>
            <w:r>
              <w:rPr>
                <w:sz w:val="18"/>
              </w:rPr>
            </w:r>
            <w:r>
              <w:rPr>
                <w:sz w:val="18"/>
              </w:rPr>
              <w:t>Agent</w:t>
            </w:r>
          </w:p>
        </w:tc>
        <w:tc>
          <w:tcPr>
            <w:tcW w:type="dxa" w:w="3137"/>
          </w:tcPr>
          <w:p>
            <w:pPr>
              <w:spacing w:after="40"/>
            </w:pPr>
            <w:r>
              <w:rPr>
                <w:sz w:val="18"/>
              </w:rPr>
            </w:r>
            <w:r>
              <w:rPr>
                <w:sz w:val="18"/>
              </w:rPr>
              <w:t>Yes</w:t>
            </w:r>
          </w:p>
        </w:tc>
      </w:tr>
      <w:tr>
        <w:tc>
          <w:tcPr>
            <w:tcW w:type="dxa" w:w="3137"/>
          </w:tcPr>
          <w:p>
            <w:pPr>
              <w:spacing w:after="40"/>
            </w:pPr>
            <w:r>
              <w:rPr>
                <w:sz w:val="18"/>
              </w:rPr>
            </w:r>
            <w:r>
              <w:rPr>
                <w:sz w:val="18"/>
              </w:rPr>
              <w:t>Security scan</w:t>
            </w:r>
          </w:p>
        </w:tc>
        <w:tc>
          <w:tcPr>
            <w:tcW w:type="dxa" w:w="3137"/>
          </w:tcPr>
          <w:p>
            <w:pPr>
              <w:spacing w:after="40"/>
            </w:pPr>
            <w:r>
              <w:rPr>
                <w:sz w:val="18"/>
              </w:rPr>
            </w:r>
            <w:r>
              <w:rPr>
                <w:sz w:val="18"/>
              </w:rPr>
              <w:t>Agent</w:t>
            </w:r>
          </w:p>
        </w:tc>
        <w:tc>
          <w:tcPr>
            <w:tcW w:type="dxa" w:w="3137"/>
          </w:tcPr>
          <w:p>
            <w:pPr>
              <w:spacing w:after="40"/>
            </w:pPr>
            <w:r>
              <w:rPr>
                <w:sz w:val="18"/>
              </w:rPr>
            </w:r>
            <w:r>
              <w:rPr>
                <w:sz w:val="18"/>
              </w:rPr>
              <w:t>Yes</w:t>
            </w:r>
          </w:p>
        </w:tc>
      </w:tr>
      <w:tr>
        <w:tc>
          <w:tcPr>
            <w:tcW w:type="dxa" w:w="3137"/>
          </w:tcPr>
          <w:p>
            <w:pPr>
              <w:spacing w:after="40"/>
            </w:pPr>
            <w:r>
              <w:rPr>
                <w:sz w:val="18"/>
              </w:rPr>
            </w:r>
            <w:r>
              <w:rPr>
                <w:sz w:val="18"/>
              </w:rPr>
              <w:t>CI/CD</w:t>
            </w:r>
          </w:p>
        </w:tc>
        <w:tc>
          <w:tcPr>
            <w:tcW w:type="dxa" w:w="3137"/>
          </w:tcPr>
          <w:p>
            <w:pPr>
              <w:spacing w:after="40"/>
            </w:pPr>
            <w:r>
              <w:rPr>
                <w:sz w:val="18"/>
              </w:rPr>
            </w:r>
            <w:r>
              <w:rPr>
                <w:sz w:val="18"/>
              </w:rPr>
              <w:t>Automated</w:t>
            </w:r>
          </w:p>
        </w:tc>
        <w:tc>
          <w:tcPr>
            <w:tcW w:type="dxa" w:w="3137"/>
          </w:tcPr>
          <w:p>
            <w:pPr>
              <w:spacing w:after="40"/>
            </w:pPr>
            <w:r>
              <w:rPr>
                <w:sz w:val="18"/>
              </w:rPr>
            </w:r>
            <w:r>
              <w:rPr>
                <w:sz w:val="18"/>
              </w:rPr>
              <w:t>Yes</w:t>
            </w:r>
          </w:p>
        </w:tc>
      </w:tr>
      <w:tr>
        <w:tc>
          <w:tcPr>
            <w:tcW w:type="dxa" w:w="3137"/>
          </w:tcPr>
          <w:p>
            <w:pPr>
              <w:spacing w:after="40"/>
            </w:pPr>
            <w:r>
              <w:rPr>
                <w:sz w:val="18"/>
              </w:rPr>
            </w:r>
            <w:r>
              <w:rPr>
                <w:sz w:val="18"/>
              </w:rPr>
              <w:t>Production acceptance</w:t>
            </w:r>
          </w:p>
        </w:tc>
        <w:tc>
          <w:tcPr>
            <w:tcW w:type="dxa" w:w="3137"/>
          </w:tcPr>
          <w:p>
            <w:pPr>
              <w:spacing w:after="40"/>
            </w:pPr>
            <w:r>
              <w:rPr>
                <w:sz w:val="18"/>
              </w:rPr>
            </w:r>
            <w:r>
              <w:rPr>
                <w:sz w:val="18"/>
              </w:rPr>
              <w:t>Human</w:t>
            </w:r>
          </w:p>
        </w:tc>
        <w:tc>
          <w:tcPr>
            <w:tcW w:type="dxa" w:w="3137"/>
          </w:tcPr>
          <w:p>
            <w:pPr>
              <w:spacing w:after="40"/>
            </w:pPr>
            <w:r>
              <w:rPr>
                <w:sz w:val="18"/>
              </w:rPr>
            </w:r>
            <w:r>
              <w:rPr>
                <w:sz w:val="18"/>
              </w:rPr>
              <w:t>Yes</w:t>
            </w:r>
          </w:p>
        </w:tc>
      </w:tr>
      <w:tr>
        <w:tc>
          <w:tcPr>
            <w:tcW w:type="dxa" w:w="3137"/>
          </w:tcPr>
          <w:p>
            <w:pPr>
              <w:spacing w:after="40"/>
            </w:pPr>
            <w:r>
              <w:rPr>
                <w:sz w:val="18"/>
              </w:rPr>
            </w:r>
            <w:r>
              <w:rPr>
                <w:sz w:val="18"/>
              </w:rPr>
              <w:t>AI monitoring</w:t>
            </w:r>
          </w:p>
        </w:tc>
        <w:tc>
          <w:tcPr>
            <w:tcW w:type="dxa" w:w="3137"/>
          </w:tcPr>
          <w:p>
            <w:pPr>
              <w:spacing w:after="40"/>
            </w:pPr>
            <w:r>
              <w:rPr>
                <w:sz w:val="18"/>
              </w:rPr>
            </w:r>
            <w:r>
              <w:rPr>
                <w:sz w:val="18"/>
              </w:rPr>
              <w:t>Agent</w:t>
            </w:r>
          </w:p>
        </w:tc>
        <w:tc>
          <w:tcPr>
            <w:tcW w:type="dxa" w:w="3137"/>
          </w:tcPr>
          <w:p>
            <w:pPr>
              <w:spacing w:after="40"/>
            </w:pPr>
            <w:r>
              <w:rPr>
                <w:sz w:val="18"/>
              </w:rPr>
            </w:r>
            <w:r>
              <w:rPr>
                <w:sz w:val="18"/>
              </w:rPr>
              <w:t>Raises, does not stop. By then it is a rollback decision</w:t>
            </w:r>
          </w:p>
        </w:tc>
      </w:tr>
    </w:tbl>
    <w:p>
      <w:pPr>
        <w:spacing w:after="40"/>
      </w:pPr>
    </w:p>
    <w:p>
      <w:r>
        <w:t xml:space="preserve">Six of the eight can stop a change and only two of those are human. That is the intended shape: </w:t>
      </w:r>
      <w:r>
        <w:rPr>
          <w:b/>
        </w:rPr>
        <w:t>stopping should be cheap and frequent, deciding should be rare and attributed.</w:t>
      </w:r>
    </w:p>
    <w:p>
      <w:pPr>
        <w:pStyle w:val="Heading1"/>
      </w:pPr>
      <w:r>
        <w:t>Handoff contracts</w:t>
      </w:r>
    </w:p>
    <w:p>
      <w:r>
        <w:rPr>
          <w:b/>
        </w:rPr>
        <w:t>From the PMO.</w:t>
      </w:r>
      <w:r>
        <w:t xml:space="preserve"> Work arrives with an owner and a testable requirement. "Make it better" is not a requirement, and accepting one produces a change nobody can review, because there is nothing to review it against.</w:t>
      </w:r>
    </w:p>
    <w:p>
      <w:r>
        <w:rPr>
          <w:b/>
        </w:rPr>
        <w:t>To QA.</w:t>
      </w:r>
      <w:r>
        <w:t xml:space="preserve"> Everything deterministic. Anything measured against a distribution belongs to AI Engineering and Product. Mixing them gives you either untested AI features or an engineering team asked to certify something it has no method for.</w:t>
      </w:r>
    </w:p>
    <w:p>
      <w:r>
        <w:rPr>
          <w:b/>
        </w:rPr>
        <w:t>With Security.</w:t>
      </w:r>
      <w:r>
        <w:t xml:space="preserve"> Findings raised on every commit, closed jointly, never closed by the agent that raised them. An accepted risk is written down with a date and an owner, not left implied.</w:t>
      </w:r>
    </w:p>
    <w:p>
      <w:r>
        <w:rPr>
          <w:b/>
        </w:rPr>
        <w:t>To Support.</w:t>
      </w:r>
      <w:r>
        <w:t xml:space="preserve"> Release notes from the diff before the deploy lands, so the first person to hear about a change is not a customer describing it.</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Per change</w:t>
            </w:r>
          </w:p>
        </w:tc>
        <w:tc>
          <w:tcPr>
            <w:tcW w:type="dxa" w:w="4706"/>
            <w:shd w:val="clear" w:color="auto" w:fill="F1EAFE"/>
          </w:tcPr>
          <w:p>
            <w:pPr>
              <w:spacing w:after="40"/>
            </w:pPr>
            <w:r>
              <w:rPr>
                <w:b/>
                <w:sz w:val="18"/>
              </w:rPr>
            </w:r>
            <w:r>
              <w:rPr>
                <w:b/>
                <w:sz w:val="18"/>
              </w:rPr>
              <w:t>All eight stages. No exemption for small changes, which cause most incidents by skipping steps</w:t>
            </w:r>
          </w:p>
        </w:tc>
      </w:tr>
      <w:tr>
        <w:tc>
          <w:tcPr>
            <w:tcW w:type="dxa" w:w="4706"/>
          </w:tcPr>
          <w:p>
            <w:pPr>
              <w:spacing w:after="40"/>
            </w:pPr>
            <w:r>
              <w:rPr>
                <w:sz w:val="18"/>
              </w:rPr>
            </w:r>
            <w:r>
              <w:rPr>
                <w:sz w:val="18"/>
              </w:rPr>
              <w:t>Daily</w:t>
            </w:r>
          </w:p>
        </w:tc>
        <w:tc>
          <w:tcPr>
            <w:tcW w:type="dxa" w:w="4706"/>
          </w:tcPr>
          <w:p>
            <w:pPr>
              <w:spacing w:after="40"/>
            </w:pPr>
            <w:r>
              <w:rPr>
                <w:sz w:val="18"/>
              </w:rPr>
            </w:r>
            <w:r>
              <w:rPr>
                <w:sz w:val="18"/>
              </w:rPr>
              <w:t>Deploys, unplanned work</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Gate audit: what fired, what was bypassed, what escaped</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Architecture review and technical debt</w:t>
            </w:r>
          </w:p>
        </w:tc>
      </w:tr>
    </w:tbl>
    <w:p>
      <w:pPr>
        <w:spacing w:after="40"/>
      </w:pPr>
    </w:p>
    <w:p>
      <w:pPr>
        <w:pStyle w:val="Heading1"/>
      </w:pPr>
      <w:r>
        <w:t>The failure this design is built against</w:t>
      </w:r>
    </w:p>
    <w:p>
      <w:r>
        <w:t>An organisation adopts AI coding, output triples, review stays where it was, and six months later nobody understands the system well enough to change it safely. Nothing looks wrong at any point along the way, because the delivery numbers improve the entire time.</w:t>
      </w:r>
    </w:p>
    <w:p>
      <w:r>
        <w:t>Every element here, the human decision at the front, six gates that are allowed to stop things, the review-depth counter-metric, and a monthly audit that asks which gate has stopped nothing, exists to make that outcome visible while it is still cheap to correct.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Engineering: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how work moves</dc:title>
  <dc:subject/>
  <dc:creator>BvLogic</dc:creator>
  <cp:keywords>BvLogic, Workflow, enterprise AI, Engineering: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